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5F" w:rsidRPr="00B423E0" w:rsidRDefault="00AB1D5F" w:rsidP="00AB1D5F">
      <w:pPr>
        <w:pStyle w:val="Titre1"/>
        <w:numPr>
          <w:ilvl w:val="0"/>
          <w:numId w:val="0"/>
        </w:numPr>
        <w:rPr>
          <w:rFonts w:cs="Times New Roman"/>
        </w:rPr>
      </w:pPr>
      <w:bookmarkStart w:id="0" w:name="_Toc34730685"/>
      <w:bookmarkStart w:id="1" w:name="_GoBack"/>
      <w:bookmarkEnd w:id="1"/>
      <w:r w:rsidRPr="00B423E0">
        <w:rPr>
          <w:rFonts w:cs="Times New Roman"/>
        </w:rPr>
        <w:t>Liste des auteurs</w:t>
      </w:r>
      <w:bookmarkEnd w:id="0"/>
    </w:p>
    <w:p w:rsidR="00AB1D5F" w:rsidRPr="00B423E0" w:rsidRDefault="00AB1D5F" w:rsidP="00AB1D5F">
      <w:pPr>
        <w:rPr>
          <w:rFonts w:ascii="Times New Roman" w:hAnsi="Times New Roman" w:cs="Times New Roman"/>
          <w:i/>
          <w:sz w:val="28"/>
          <w:szCs w:val="28"/>
        </w:rPr>
      </w:pPr>
      <w:proofErr w:type="spellStart"/>
      <w:r w:rsidRPr="00B423E0">
        <w:rPr>
          <w:rFonts w:ascii="Times New Roman" w:hAnsi="Times New Roman" w:cs="Times New Roman"/>
          <w:i/>
          <w:sz w:val="28"/>
          <w:szCs w:val="28"/>
        </w:rPr>
        <w:t>Diatou</w:t>
      </w:r>
      <w:proofErr w:type="spellEnd"/>
      <w:r w:rsidRPr="00B423E0">
        <w:rPr>
          <w:rFonts w:ascii="Times New Roman" w:hAnsi="Times New Roman" w:cs="Times New Roman"/>
          <w:i/>
          <w:sz w:val="28"/>
          <w:szCs w:val="28"/>
        </w:rPr>
        <w:t xml:space="preserve"> </w:t>
      </w:r>
      <w:proofErr w:type="spellStart"/>
      <w:r w:rsidRPr="00B423E0">
        <w:rPr>
          <w:rFonts w:ascii="Times New Roman" w:hAnsi="Times New Roman" w:cs="Times New Roman"/>
          <w:i/>
          <w:sz w:val="28"/>
          <w:szCs w:val="28"/>
        </w:rPr>
        <w:t>Ndiaye</w:t>
      </w:r>
      <w:proofErr w:type="spellEnd"/>
      <w:r w:rsidRPr="00B423E0">
        <w:rPr>
          <w:rFonts w:ascii="Times New Roman" w:hAnsi="Times New Roman" w:cs="Times New Roman"/>
          <w:i/>
          <w:sz w:val="28"/>
          <w:szCs w:val="28"/>
        </w:rPr>
        <w:t xml:space="preserve">, </w:t>
      </w:r>
      <w:proofErr w:type="spellStart"/>
      <w:r w:rsidRPr="00B423E0">
        <w:rPr>
          <w:rFonts w:ascii="Times New Roman" w:hAnsi="Times New Roman" w:cs="Times New Roman"/>
          <w:i/>
          <w:sz w:val="28"/>
          <w:szCs w:val="28"/>
        </w:rPr>
        <w:t>Ndeye</w:t>
      </w:r>
      <w:proofErr w:type="spellEnd"/>
      <w:r w:rsidRPr="00B423E0">
        <w:rPr>
          <w:rFonts w:ascii="Times New Roman" w:hAnsi="Times New Roman" w:cs="Times New Roman"/>
          <w:i/>
          <w:sz w:val="28"/>
          <w:szCs w:val="28"/>
        </w:rPr>
        <w:t xml:space="preserve"> </w:t>
      </w:r>
      <w:proofErr w:type="spellStart"/>
      <w:r w:rsidRPr="00B423E0">
        <w:rPr>
          <w:rFonts w:ascii="Times New Roman" w:hAnsi="Times New Roman" w:cs="Times New Roman"/>
          <w:i/>
          <w:sz w:val="28"/>
          <w:szCs w:val="28"/>
        </w:rPr>
        <w:t>Fatou</w:t>
      </w:r>
      <w:proofErr w:type="spellEnd"/>
      <w:r w:rsidRPr="00B423E0">
        <w:rPr>
          <w:rFonts w:ascii="Times New Roman" w:hAnsi="Times New Roman" w:cs="Times New Roman"/>
          <w:i/>
          <w:sz w:val="28"/>
          <w:szCs w:val="28"/>
        </w:rPr>
        <w:t xml:space="preserve"> Faye, Rock Romaric </w:t>
      </w:r>
      <w:proofErr w:type="spellStart"/>
      <w:r w:rsidRPr="00B423E0">
        <w:rPr>
          <w:rFonts w:ascii="Times New Roman" w:hAnsi="Times New Roman" w:cs="Times New Roman"/>
          <w:i/>
          <w:sz w:val="28"/>
          <w:szCs w:val="28"/>
        </w:rPr>
        <w:t>Zagré</w:t>
      </w:r>
      <w:proofErr w:type="spellEnd"/>
      <w:r w:rsidRPr="00B423E0">
        <w:rPr>
          <w:rFonts w:ascii="Times New Roman" w:hAnsi="Times New Roman" w:cs="Times New Roman"/>
          <w:i/>
          <w:sz w:val="28"/>
          <w:szCs w:val="28"/>
        </w:rPr>
        <w:t xml:space="preserve">, Chérif S. A. </w:t>
      </w:r>
      <w:proofErr w:type="spellStart"/>
      <w:r w:rsidRPr="00B423E0">
        <w:rPr>
          <w:rFonts w:ascii="Times New Roman" w:hAnsi="Times New Roman" w:cs="Times New Roman"/>
          <w:i/>
          <w:sz w:val="28"/>
          <w:szCs w:val="28"/>
        </w:rPr>
        <w:t>Mané</w:t>
      </w:r>
      <w:proofErr w:type="spellEnd"/>
      <w:r w:rsidRPr="00B423E0">
        <w:rPr>
          <w:rFonts w:ascii="Times New Roman" w:hAnsi="Times New Roman" w:cs="Times New Roman"/>
          <w:i/>
          <w:sz w:val="28"/>
          <w:szCs w:val="28"/>
        </w:rPr>
        <w:t xml:space="preserve">, </w:t>
      </w:r>
      <w:proofErr w:type="spellStart"/>
      <w:r w:rsidRPr="00B423E0">
        <w:rPr>
          <w:rFonts w:ascii="Times New Roman" w:hAnsi="Times New Roman" w:cs="Times New Roman"/>
          <w:i/>
          <w:sz w:val="28"/>
          <w:szCs w:val="28"/>
        </w:rPr>
        <w:t>Mouhamed</w:t>
      </w:r>
      <w:proofErr w:type="spellEnd"/>
      <w:r w:rsidRPr="00B423E0">
        <w:rPr>
          <w:rFonts w:ascii="Times New Roman" w:hAnsi="Times New Roman" w:cs="Times New Roman"/>
          <w:i/>
          <w:sz w:val="28"/>
          <w:szCs w:val="28"/>
        </w:rPr>
        <w:t xml:space="preserve"> </w:t>
      </w:r>
      <w:proofErr w:type="spellStart"/>
      <w:r w:rsidRPr="00B423E0">
        <w:rPr>
          <w:rFonts w:ascii="Times New Roman" w:hAnsi="Times New Roman" w:cs="Times New Roman"/>
          <w:i/>
          <w:sz w:val="28"/>
          <w:szCs w:val="28"/>
        </w:rPr>
        <w:t>Rassoul</w:t>
      </w:r>
      <w:proofErr w:type="spellEnd"/>
      <w:r w:rsidRPr="00B423E0">
        <w:rPr>
          <w:rFonts w:ascii="Times New Roman" w:hAnsi="Times New Roman" w:cs="Times New Roman"/>
          <w:i/>
          <w:sz w:val="28"/>
          <w:szCs w:val="28"/>
        </w:rPr>
        <w:t xml:space="preserve"> </w:t>
      </w:r>
      <w:proofErr w:type="spellStart"/>
      <w:r w:rsidRPr="00B423E0">
        <w:rPr>
          <w:rFonts w:ascii="Times New Roman" w:hAnsi="Times New Roman" w:cs="Times New Roman"/>
          <w:i/>
          <w:sz w:val="28"/>
          <w:szCs w:val="28"/>
        </w:rPr>
        <w:t>Sy</w:t>
      </w:r>
      <w:proofErr w:type="spellEnd"/>
    </w:p>
    <w:p w:rsidR="002D1D77" w:rsidRPr="00B423E0" w:rsidRDefault="002D1D77" w:rsidP="00AB1D5F">
      <w:pPr>
        <w:rPr>
          <w:rFonts w:ascii="Times New Roman" w:hAnsi="Times New Roman" w:cs="Times New Roman"/>
          <w:i/>
          <w:sz w:val="28"/>
          <w:szCs w:val="28"/>
        </w:rPr>
      </w:pPr>
    </w:p>
    <w:p w:rsidR="002D1D77" w:rsidRPr="00B423E0" w:rsidRDefault="002D1D77" w:rsidP="002D1D77">
      <w:pPr>
        <w:pStyle w:val="Titre1"/>
        <w:numPr>
          <w:ilvl w:val="0"/>
          <w:numId w:val="0"/>
        </w:numPr>
        <w:rPr>
          <w:rFonts w:cs="Times New Roman"/>
        </w:rPr>
      </w:pPr>
      <w:bookmarkStart w:id="2" w:name="_Toc34303387"/>
      <w:r w:rsidRPr="00B423E0">
        <w:rPr>
          <w:rFonts w:cs="Times New Roman"/>
        </w:rPr>
        <w:t>Remerciements</w:t>
      </w:r>
      <w:bookmarkEnd w:id="2"/>
    </w:p>
    <w:p w:rsidR="002D1D77" w:rsidRPr="00B423E0" w:rsidRDefault="002D1D77" w:rsidP="002D1D77">
      <w:pPr>
        <w:pStyle w:val="RapportPAPA"/>
        <w:rPr>
          <w:lang w:eastAsia="fr-FR"/>
        </w:rPr>
      </w:pPr>
      <w:r w:rsidRPr="00B423E0">
        <w:rPr>
          <w:lang w:eastAsia="fr-FR"/>
        </w:rPr>
        <w:t xml:space="preserve">Nous adressons nos remerciements aux </w:t>
      </w:r>
      <w:r w:rsidRPr="00B423E0">
        <w:t>Directeurs Régionaux du Développement Rural (DRDR) et aux chefs des Services Départementaux du Développement Rural (SDDR) qui ont été la porte d’entrée la plus importante vers les acteurs de la filière</w:t>
      </w:r>
    </w:p>
    <w:p w:rsidR="002D1D77" w:rsidRPr="00B423E0" w:rsidRDefault="002D1D77" w:rsidP="002D1D77">
      <w:pPr>
        <w:pStyle w:val="RapportPAPA"/>
        <w:rPr>
          <w:lang w:eastAsia="fr-FR"/>
        </w:rPr>
      </w:pPr>
      <w:r w:rsidRPr="00B423E0">
        <w:rPr>
          <w:lang w:eastAsia="fr-FR"/>
        </w:rPr>
        <w:t xml:space="preserve">Pour avoir permis et facilité la collecte des données, nos remerciements vont aux commerçants détaillants et grossistes de céréales. </w:t>
      </w:r>
    </w:p>
    <w:p w:rsidR="002D1D77" w:rsidRPr="00B423E0" w:rsidRDefault="002D1D77" w:rsidP="002D1D77">
      <w:pPr>
        <w:pStyle w:val="RapportPAPA"/>
        <w:rPr>
          <w:lang w:eastAsia="fr-FR"/>
        </w:rPr>
      </w:pPr>
      <w:r w:rsidRPr="00B423E0">
        <w:rPr>
          <w:lang w:eastAsia="fr-FR"/>
        </w:rPr>
        <w:t>Nous remercions également toutes les personnes et institutions ayant facilité l’accès aux acteurs. Il s’agit du PADAER, du PAFA, des Chambres Régionales de Commerce et des Métiers. Nous réservons une mention spéciale aux délégués de marchés pour leur disponibilité.</w:t>
      </w:r>
    </w:p>
    <w:p w:rsidR="002D1D77" w:rsidRPr="00B423E0" w:rsidRDefault="002D1D77" w:rsidP="002D1D77">
      <w:pPr>
        <w:pStyle w:val="RapportPAPA"/>
      </w:pPr>
      <w:r w:rsidRPr="00B423E0">
        <w:rPr>
          <w:lang w:eastAsia="fr-FR"/>
        </w:rPr>
        <w:t>Nous adressons des remerciements particuliers aux enquêteurs pour la qualité des données collectées. Sans ces derniers, cette étude n’aurait pu être effective. Nous remercierons également toute l’équipe de l’ISRA/BAME pour son appui sans faille.</w:t>
      </w:r>
    </w:p>
    <w:p w:rsidR="002D1D77" w:rsidRPr="00B423E0" w:rsidRDefault="002D1D77" w:rsidP="00AB1D5F">
      <w:pPr>
        <w:rPr>
          <w:rFonts w:ascii="Times New Roman" w:hAnsi="Times New Roman" w:cs="Times New Roman"/>
          <w:i/>
          <w:sz w:val="28"/>
          <w:szCs w:val="28"/>
        </w:rPr>
      </w:pPr>
    </w:p>
    <w:p w:rsidR="002D1D77" w:rsidRPr="00B423E0" w:rsidRDefault="002D1D77">
      <w:pPr>
        <w:rPr>
          <w:rFonts w:ascii="Times New Roman" w:eastAsiaTheme="majorEastAsia" w:hAnsi="Times New Roman" w:cs="Times New Roman"/>
          <w:color w:val="44546A" w:themeColor="text2"/>
          <w:sz w:val="32"/>
          <w:szCs w:val="32"/>
        </w:rPr>
      </w:pPr>
      <w:bookmarkStart w:id="3" w:name="_Toc34730686"/>
      <w:r w:rsidRPr="00B423E0">
        <w:rPr>
          <w:rFonts w:ascii="Times New Roman" w:hAnsi="Times New Roman" w:cs="Times New Roman"/>
        </w:rPr>
        <w:br w:type="page"/>
      </w:r>
    </w:p>
    <w:p w:rsidR="00AB1D5F" w:rsidRPr="00B423E0" w:rsidRDefault="00AB1D5F" w:rsidP="00AB1D5F">
      <w:pPr>
        <w:pStyle w:val="Titre1"/>
        <w:numPr>
          <w:ilvl w:val="0"/>
          <w:numId w:val="0"/>
        </w:numPr>
        <w:rPr>
          <w:rFonts w:cs="Times New Roman"/>
        </w:rPr>
      </w:pPr>
      <w:r w:rsidRPr="00B423E0">
        <w:rPr>
          <w:rFonts w:cs="Times New Roman"/>
        </w:rPr>
        <w:lastRenderedPageBreak/>
        <w:t>Liste des tableaux</w:t>
      </w:r>
      <w:bookmarkEnd w:id="3"/>
    </w:p>
    <w:p w:rsidR="002379DD" w:rsidRPr="00B423E0" w:rsidRDefault="00AB1D5F">
      <w:pPr>
        <w:pStyle w:val="Tabledesillustrations"/>
        <w:tabs>
          <w:tab w:val="right" w:leader="dot" w:pos="9062"/>
        </w:tabs>
        <w:rPr>
          <w:rFonts w:ascii="Times New Roman" w:eastAsiaTheme="minorEastAsia" w:hAnsi="Times New Roman" w:cs="Times New Roman"/>
          <w:noProof/>
          <w:lang w:eastAsia="fr-FR"/>
        </w:rPr>
      </w:pPr>
      <w:r w:rsidRPr="00B423E0">
        <w:rPr>
          <w:rFonts w:ascii="Times New Roman" w:hAnsi="Times New Roman" w:cs="Times New Roman"/>
        </w:rPr>
        <w:fldChar w:fldCharType="begin"/>
      </w:r>
      <w:r w:rsidRPr="00B423E0">
        <w:rPr>
          <w:rFonts w:ascii="Times New Roman" w:hAnsi="Times New Roman" w:cs="Times New Roman"/>
        </w:rPr>
        <w:instrText xml:space="preserve"> TOC \h \z \c "Tableau" </w:instrText>
      </w:r>
      <w:r w:rsidRPr="00B423E0">
        <w:rPr>
          <w:rFonts w:ascii="Times New Roman" w:hAnsi="Times New Roman" w:cs="Times New Roman"/>
        </w:rPr>
        <w:fldChar w:fldCharType="separate"/>
      </w:r>
      <w:hyperlink w:anchor="_Toc34827997" w:history="1">
        <w:r w:rsidR="002379DD" w:rsidRPr="00B423E0">
          <w:rPr>
            <w:rStyle w:val="Lienhypertexte"/>
            <w:rFonts w:ascii="Times New Roman" w:hAnsi="Times New Roman" w:cs="Times New Roman"/>
            <w:b/>
            <w:iCs/>
            <w:noProof/>
          </w:rPr>
          <w:t>Tableau 2</w:t>
        </w:r>
        <w:r w:rsidR="002379DD" w:rsidRPr="00B423E0">
          <w:rPr>
            <w:rStyle w:val="Lienhypertexte"/>
            <w:rFonts w:ascii="Times New Roman" w:hAnsi="Times New Roman" w:cs="Times New Roman"/>
            <w:iCs/>
            <w:noProof/>
          </w:rPr>
          <w:t xml:space="preserve"> : Caractéristiques générales de l'entreprise de commercialisation</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_Toc34827997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11</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7998" w:history="1">
        <w:r w:rsidR="002379DD" w:rsidRPr="00B423E0">
          <w:rPr>
            <w:rStyle w:val="Lienhypertexte"/>
            <w:rFonts w:ascii="Times New Roman" w:hAnsi="Times New Roman" w:cs="Times New Roman"/>
            <w:b/>
            <w:iCs/>
            <w:noProof/>
          </w:rPr>
          <w:t>Tableau 3</w:t>
        </w:r>
        <w:r w:rsidR="002379DD" w:rsidRPr="00B423E0">
          <w:rPr>
            <w:rStyle w:val="Lienhypertexte"/>
            <w:rFonts w:ascii="Times New Roman" w:hAnsi="Times New Roman" w:cs="Times New Roman"/>
            <w:iCs/>
            <w:noProof/>
          </w:rPr>
          <w:t> : Accès aux infrastructures</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_Toc34827998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12</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7999" w:history="1">
        <w:r w:rsidR="002379DD" w:rsidRPr="00B423E0">
          <w:rPr>
            <w:rStyle w:val="Lienhypertexte"/>
            <w:rFonts w:ascii="Times New Roman" w:hAnsi="Times New Roman" w:cs="Times New Roman"/>
            <w:b/>
            <w:iCs/>
            <w:noProof/>
          </w:rPr>
          <w:t>Tableau 4</w:t>
        </w:r>
        <w:r w:rsidR="002379DD" w:rsidRPr="00B423E0">
          <w:rPr>
            <w:rStyle w:val="Lienhypertexte"/>
            <w:rFonts w:ascii="Times New Roman" w:hAnsi="Times New Roman" w:cs="Times New Roman"/>
            <w:iCs/>
            <w:noProof/>
          </w:rPr>
          <w:t> : Accès aux services</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_Toc34827999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13</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00" w:history="1">
        <w:r w:rsidR="002379DD" w:rsidRPr="00B423E0">
          <w:rPr>
            <w:rStyle w:val="Lienhypertexte"/>
            <w:rFonts w:ascii="Times New Roman" w:eastAsia="Calibri" w:hAnsi="Times New Roman" w:cs="Times New Roman"/>
            <w:b/>
            <w:iCs/>
            <w:noProof/>
          </w:rPr>
          <w:t>Tableau 5 :</w:t>
        </w:r>
        <w:r w:rsidR="002379DD" w:rsidRPr="00B423E0">
          <w:rPr>
            <w:rStyle w:val="Lienhypertexte"/>
            <w:rFonts w:ascii="Times New Roman" w:eastAsia="Calibri" w:hAnsi="Times New Roman" w:cs="Times New Roman"/>
            <w:iCs/>
            <w:noProof/>
          </w:rPr>
          <w:t xml:space="preserve"> Clientèle et lieux de vente des grossistes de céréales sèches (semaine précédant l’enquête)</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_Toc34828000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14</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01" w:history="1">
        <w:r w:rsidR="002379DD" w:rsidRPr="00B423E0">
          <w:rPr>
            <w:rStyle w:val="Lienhypertexte"/>
            <w:rFonts w:ascii="Times New Roman" w:hAnsi="Times New Roman" w:cs="Times New Roman"/>
            <w:b/>
            <w:noProof/>
          </w:rPr>
          <w:t>Tableau 6</w:t>
        </w:r>
        <w:r w:rsidR="002379DD" w:rsidRPr="00B423E0">
          <w:rPr>
            <w:rStyle w:val="Lienhypertexte"/>
            <w:rFonts w:ascii="Times New Roman" w:hAnsi="Times New Roman" w:cs="Times New Roman"/>
            <w:b/>
            <w:iCs/>
            <w:noProof/>
          </w:rPr>
          <w:t>:</w:t>
        </w:r>
        <w:r w:rsidR="002379DD" w:rsidRPr="00B423E0">
          <w:rPr>
            <w:rStyle w:val="Lienhypertexte"/>
            <w:rFonts w:ascii="Times New Roman" w:hAnsi="Times New Roman" w:cs="Times New Roman"/>
            <w:iCs/>
            <w:noProof/>
          </w:rPr>
          <w:t xml:space="preserve"> Evolution des approvisionnements</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_Toc34828001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16</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02" w:history="1">
        <w:r w:rsidR="002379DD" w:rsidRPr="00B423E0">
          <w:rPr>
            <w:rStyle w:val="Lienhypertexte"/>
            <w:rFonts w:ascii="Times New Roman" w:hAnsi="Times New Roman" w:cs="Times New Roman"/>
            <w:b/>
            <w:iCs/>
            <w:noProof/>
          </w:rPr>
          <w:t>Tableau 7</w:t>
        </w:r>
        <w:r w:rsidR="002379DD" w:rsidRPr="00B423E0">
          <w:rPr>
            <w:rStyle w:val="Lienhypertexte"/>
            <w:rFonts w:ascii="Times New Roman" w:hAnsi="Times New Roman" w:cs="Times New Roman"/>
            <w:iCs/>
            <w:noProof/>
          </w:rPr>
          <w:t> : Types de fournisseurs par période</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_Toc34828002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17</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03" w:history="1">
        <w:r w:rsidR="002379DD" w:rsidRPr="00B423E0">
          <w:rPr>
            <w:rStyle w:val="Lienhypertexte"/>
            <w:rFonts w:ascii="Times New Roman" w:hAnsi="Times New Roman" w:cs="Times New Roman"/>
            <w:b/>
            <w:iCs/>
            <w:noProof/>
          </w:rPr>
          <w:t>Tableau 8 :</w:t>
        </w:r>
        <w:r w:rsidR="002379DD" w:rsidRPr="00B423E0">
          <w:rPr>
            <w:rStyle w:val="Lienhypertexte"/>
            <w:rFonts w:ascii="Times New Roman" w:hAnsi="Times New Roman" w:cs="Times New Roman"/>
            <w:iCs/>
            <w:noProof/>
          </w:rPr>
          <w:t xml:space="preserve"> Type de fournisseurs par spéculation</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_Toc34828003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17</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04" w:history="1">
        <w:r w:rsidR="002379DD" w:rsidRPr="00B423E0">
          <w:rPr>
            <w:rStyle w:val="Lienhypertexte"/>
            <w:rFonts w:ascii="Times New Roman" w:hAnsi="Times New Roman" w:cs="Times New Roman"/>
            <w:b/>
            <w:iCs/>
            <w:noProof/>
          </w:rPr>
          <w:t>Tableau 9</w:t>
        </w:r>
        <w:r w:rsidR="002379DD" w:rsidRPr="00B423E0">
          <w:rPr>
            <w:rStyle w:val="Lienhypertexte"/>
            <w:rFonts w:ascii="Times New Roman" w:hAnsi="Times New Roman" w:cs="Times New Roman"/>
            <w:iCs/>
            <w:noProof/>
          </w:rPr>
          <w:t> : Lieux d’approvisionnement en céréales (semaine précédant l’enquête)</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_Toc34828004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18</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05" w:history="1">
        <w:r w:rsidR="002379DD" w:rsidRPr="00B423E0">
          <w:rPr>
            <w:rStyle w:val="Lienhypertexte"/>
            <w:rFonts w:ascii="Times New Roman" w:hAnsi="Times New Roman" w:cs="Times New Roman"/>
            <w:b/>
            <w:iCs/>
            <w:noProof/>
          </w:rPr>
          <w:t>Tableau 10 :</w:t>
        </w:r>
        <w:r w:rsidR="002379DD" w:rsidRPr="00B423E0">
          <w:rPr>
            <w:rStyle w:val="Lienhypertexte"/>
            <w:rFonts w:ascii="Times New Roman" w:hAnsi="Times New Roman" w:cs="Times New Roman"/>
            <w:noProof/>
          </w:rPr>
          <w:t xml:space="preserve"> Activités agricoles et de transformation des entreprises</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_Toc34828005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19</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06" w:history="1">
        <w:r w:rsidR="002379DD" w:rsidRPr="00B423E0">
          <w:rPr>
            <w:rStyle w:val="Lienhypertexte"/>
            <w:rFonts w:ascii="Times New Roman" w:hAnsi="Times New Roman" w:cs="Times New Roman"/>
            <w:b/>
            <w:iCs/>
            <w:noProof/>
          </w:rPr>
          <w:t>Tableau 11</w:t>
        </w:r>
        <w:r w:rsidR="002379DD" w:rsidRPr="00B423E0">
          <w:rPr>
            <w:rStyle w:val="Lienhypertexte"/>
            <w:rFonts w:ascii="Times New Roman" w:hAnsi="Times New Roman" w:cs="Times New Roman"/>
            <w:iCs/>
            <w:noProof/>
          </w:rPr>
          <w:t> : Accès aux céréales sèches</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_Toc34828006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19</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07" w:history="1">
        <w:r w:rsidR="002379DD" w:rsidRPr="00B423E0">
          <w:rPr>
            <w:rStyle w:val="Lienhypertexte"/>
            <w:rFonts w:ascii="Times New Roman" w:hAnsi="Times New Roman" w:cs="Times New Roman"/>
            <w:b/>
            <w:iCs/>
            <w:noProof/>
          </w:rPr>
          <w:t>Tableau 12 :</w:t>
        </w:r>
        <w:r w:rsidR="002379DD" w:rsidRPr="00B423E0">
          <w:rPr>
            <w:rStyle w:val="Lienhypertexte"/>
            <w:rFonts w:ascii="Times New Roman" w:hAnsi="Times New Roman" w:cs="Times New Roman"/>
            <w:iCs/>
            <w:noProof/>
          </w:rPr>
          <w:t xml:space="preserve"> Attributs visuels guidant le choix du produit</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_Toc34828007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20</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08" w:history="1">
        <w:r w:rsidR="002379DD" w:rsidRPr="00B423E0">
          <w:rPr>
            <w:rStyle w:val="Lienhypertexte"/>
            <w:rFonts w:ascii="Times New Roman" w:hAnsi="Times New Roman" w:cs="Times New Roman"/>
            <w:b/>
            <w:iCs/>
            <w:noProof/>
          </w:rPr>
          <w:t>Tableau 13 :</w:t>
        </w:r>
        <w:r w:rsidR="002379DD" w:rsidRPr="00B423E0">
          <w:rPr>
            <w:rStyle w:val="Lienhypertexte"/>
            <w:rFonts w:ascii="Times New Roman" w:hAnsi="Times New Roman" w:cs="Times New Roman"/>
            <w:iCs/>
            <w:noProof/>
          </w:rPr>
          <w:t xml:space="preserve"> </w:t>
        </w:r>
        <w:r w:rsidR="002379DD" w:rsidRPr="00B423E0">
          <w:rPr>
            <w:rStyle w:val="Lienhypertexte"/>
            <w:rFonts w:ascii="Times New Roman" w:eastAsia="Times New Roman" w:hAnsi="Times New Roman" w:cs="Times New Roman"/>
            <w:iCs/>
            <w:noProof/>
            <w:lang w:eastAsia="fr-FR"/>
          </w:rPr>
          <w:t>Trois principaux attributs liés au fournisseur ou marché,  guidant le choix du produit</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_Toc34828008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20</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09" w:history="1">
        <w:r w:rsidR="002379DD" w:rsidRPr="00B423E0">
          <w:rPr>
            <w:rStyle w:val="Lienhypertexte"/>
            <w:rFonts w:ascii="Times New Roman" w:eastAsia="Calibri" w:hAnsi="Times New Roman" w:cs="Times New Roman"/>
            <w:b/>
            <w:iCs/>
            <w:noProof/>
          </w:rPr>
          <w:t>Tableau 14 :</w:t>
        </w:r>
        <w:r w:rsidR="002379DD" w:rsidRPr="00B423E0">
          <w:rPr>
            <w:rStyle w:val="Lienhypertexte"/>
            <w:rFonts w:ascii="Times New Roman" w:eastAsia="Calibri" w:hAnsi="Times New Roman" w:cs="Times New Roman"/>
            <w:iCs/>
            <w:noProof/>
          </w:rPr>
          <w:t xml:space="preserve"> Main d’œuvre employée</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_Toc34828009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23</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10" w:history="1">
        <w:r w:rsidR="002379DD" w:rsidRPr="00B423E0">
          <w:rPr>
            <w:rStyle w:val="Lienhypertexte"/>
            <w:rFonts w:ascii="Times New Roman" w:hAnsi="Times New Roman" w:cs="Times New Roman"/>
            <w:b/>
            <w:iCs/>
            <w:noProof/>
          </w:rPr>
          <w:t>Tableau 15 :</w:t>
        </w:r>
        <w:r w:rsidR="002379DD" w:rsidRPr="00B423E0">
          <w:rPr>
            <w:rStyle w:val="Lienhypertexte"/>
            <w:rFonts w:ascii="Times New Roman" w:hAnsi="Times New Roman" w:cs="Times New Roman"/>
            <w:iCs/>
            <w:noProof/>
          </w:rPr>
          <w:t xml:space="preserve"> Coûts de rémunération de la Main d’œuvre (MO)</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_Toc34828010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25</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11" w:history="1">
        <w:r w:rsidR="002379DD" w:rsidRPr="00B423E0">
          <w:rPr>
            <w:rStyle w:val="Lienhypertexte"/>
            <w:rFonts w:ascii="Times New Roman" w:hAnsi="Times New Roman" w:cs="Times New Roman"/>
            <w:b/>
            <w:iCs/>
            <w:noProof/>
          </w:rPr>
          <w:t>Tableau 16 :</w:t>
        </w:r>
        <w:r w:rsidR="002379DD" w:rsidRPr="00B423E0">
          <w:rPr>
            <w:rStyle w:val="Lienhypertexte"/>
            <w:rFonts w:ascii="Times New Roman" w:hAnsi="Times New Roman" w:cs="Times New Roman"/>
            <w:iCs/>
            <w:noProof/>
          </w:rPr>
          <w:t xml:space="preserve"> </w:t>
        </w:r>
        <w:r w:rsidR="002379DD" w:rsidRPr="00B423E0">
          <w:rPr>
            <w:rStyle w:val="Lienhypertexte"/>
            <w:rFonts w:ascii="Times New Roman" w:eastAsia="Times New Roman" w:hAnsi="Times New Roman" w:cs="Times New Roman"/>
            <w:bCs/>
            <w:iCs/>
            <w:noProof/>
            <w:lang w:eastAsia="fr-FR"/>
          </w:rPr>
          <w:t>Les Coûts de fonctionnement moyens par mois (FCFA), hors main d’œuvre</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_Toc34828011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25</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12" w:history="1">
        <w:r w:rsidR="002379DD" w:rsidRPr="00B423E0">
          <w:rPr>
            <w:rStyle w:val="Lienhypertexte"/>
            <w:rFonts w:ascii="Times New Roman" w:eastAsia="Calibri" w:hAnsi="Times New Roman" w:cs="Times New Roman"/>
            <w:b/>
            <w:iCs/>
            <w:noProof/>
          </w:rPr>
          <w:t>Tableau 17</w:t>
        </w:r>
        <w:r w:rsidR="002379DD" w:rsidRPr="00B423E0">
          <w:rPr>
            <w:rStyle w:val="Lienhypertexte"/>
            <w:rFonts w:ascii="Times New Roman" w:eastAsia="Calibri" w:hAnsi="Times New Roman" w:cs="Times New Roman"/>
            <w:iCs/>
            <w:noProof/>
          </w:rPr>
          <w:t>: Structure des principales charges des grossistes</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_Toc34828012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26</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13" w:history="1">
        <w:r w:rsidR="002379DD" w:rsidRPr="00B423E0">
          <w:rPr>
            <w:rStyle w:val="Lienhypertexte"/>
            <w:rFonts w:ascii="Times New Roman" w:eastAsia="Calibri" w:hAnsi="Times New Roman" w:cs="Times New Roman"/>
            <w:b/>
            <w:iCs/>
            <w:noProof/>
          </w:rPr>
          <w:t>Tableau 18</w:t>
        </w:r>
        <w:r w:rsidR="002379DD" w:rsidRPr="00B423E0">
          <w:rPr>
            <w:rStyle w:val="Lienhypertexte"/>
            <w:rFonts w:ascii="Times New Roman" w:eastAsia="Calibri" w:hAnsi="Times New Roman" w:cs="Times New Roman"/>
            <w:iCs/>
            <w:noProof/>
          </w:rPr>
          <w:t> : Prix moyens de vente des céréales en FCFA/kg</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_Toc34828013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27</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14" w:history="1">
        <w:r w:rsidR="002379DD" w:rsidRPr="00B423E0">
          <w:rPr>
            <w:rStyle w:val="Lienhypertexte"/>
            <w:rFonts w:ascii="Times New Roman" w:eastAsia="Times New Roman" w:hAnsi="Times New Roman" w:cs="Times New Roman"/>
            <w:b/>
            <w:bCs/>
            <w:iCs/>
            <w:noProof/>
            <w:lang w:eastAsia="fr-FR"/>
          </w:rPr>
          <w:t>Tableau 19</w:t>
        </w:r>
        <w:r w:rsidR="002379DD" w:rsidRPr="00B423E0">
          <w:rPr>
            <w:rStyle w:val="Lienhypertexte"/>
            <w:rFonts w:ascii="Times New Roman" w:hAnsi="Times New Roman" w:cs="Times New Roman"/>
            <w:noProof/>
          </w:rPr>
          <w:t xml:space="preserve"> : </w:t>
        </w:r>
        <w:r w:rsidR="002379DD" w:rsidRPr="00B423E0">
          <w:rPr>
            <w:rStyle w:val="Lienhypertexte"/>
            <w:rFonts w:ascii="Times New Roman" w:eastAsia="Times New Roman" w:hAnsi="Times New Roman" w:cs="Times New Roman"/>
            <w:bCs/>
            <w:iCs/>
            <w:noProof/>
            <w:lang w:eastAsia="fr-FR"/>
          </w:rPr>
          <w:t>Perception sur l'évolution des ventes par rapport au démarrage</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_Toc34828014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28</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15" w:history="1">
        <w:r w:rsidR="002379DD" w:rsidRPr="00B423E0">
          <w:rPr>
            <w:rStyle w:val="Lienhypertexte"/>
            <w:rFonts w:ascii="Times New Roman" w:hAnsi="Times New Roman" w:cs="Times New Roman"/>
            <w:b/>
            <w:iCs/>
            <w:noProof/>
          </w:rPr>
          <w:t>Tableau 20</w:t>
        </w:r>
        <w:r w:rsidR="002379DD" w:rsidRPr="00B423E0">
          <w:rPr>
            <w:rStyle w:val="Lienhypertexte"/>
            <w:rFonts w:ascii="Times New Roman" w:hAnsi="Times New Roman" w:cs="Times New Roman"/>
            <w:iCs/>
            <w:noProof/>
          </w:rPr>
          <w:t>: Compétitivité et concurrence entre les entreprises de commercialisation en gros</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_Toc34828015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29</w:t>
        </w:r>
        <w:r w:rsidR="002379DD" w:rsidRPr="00B423E0">
          <w:rPr>
            <w:rFonts w:ascii="Times New Roman" w:hAnsi="Times New Roman" w:cs="Times New Roman"/>
            <w:noProof/>
            <w:webHidden/>
          </w:rPr>
          <w:fldChar w:fldCharType="end"/>
        </w:r>
      </w:hyperlink>
    </w:p>
    <w:p w:rsidR="00AB1D5F" w:rsidRPr="00B423E0" w:rsidRDefault="00AB1D5F" w:rsidP="00AB1D5F">
      <w:pPr>
        <w:rPr>
          <w:rFonts w:ascii="Times New Roman" w:hAnsi="Times New Roman" w:cs="Times New Roman"/>
          <w:sz w:val="24"/>
          <w:szCs w:val="24"/>
        </w:rPr>
      </w:pPr>
      <w:r w:rsidRPr="00B423E0">
        <w:rPr>
          <w:rFonts w:ascii="Times New Roman" w:hAnsi="Times New Roman" w:cs="Times New Roman"/>
        </w:rPr>
        <w:fldChar w:fldCharType="end"/>
      </w:r>
    </w:p>
    <w:p w:rsidR="00AB1D5F" w:rsidRPr="00B423E0" w:rsidRDefault="00AB1D5F" w:rsidP="00AB1D5F">
      <w:pPr>
        <w:rPr>
          <w:rFonts w:ascii="Times New Roman" w:eastAsiaTheme="majorEastAsia" w:hAnsi="Times New Roman" w:cs="Times New Roman"/>
          <w:color w:val="44546A" w:themeColor="text2"/>
          <w:sz w:val="32"/>
          <w:szCs w:val="32"/>
        </w:rPr>
      </w:pPr>
      <w:r w:rsidRPr="00B423E0">
        <w:rPr>
          <w:rFonts w:ascii="Times New Roman" w:hAnsi="Times New Roman" w:cs="Times New Roman"/>
        </w:rPr>
        <w:br w:type="page"/>
      </w:r>
    </w:p>
    <w:p w:rsidR="00AB1D5F" w:rsidRPr="00B423E0" w:rsidRDefault="00AB1D5F" w:rsidP="00AB1D5F">
      <w:pPr>
        <w:pStyle w:val="Titre1"/>
        <w:numPr>
          <w:ilvl w:val="0"/>
          <w:numId w:val="0"/>
        </w:numPr>
        <w:rPr>
          <w:rFonts w:cs="Times New Roman"/>
        </w:rPr>
      </w:pPr>
      <w:bookmarkStart w:id="4" w:name="_Toc34730687"/>
      <w:r w:rsidRPr="00B423E0">
        <w:rPr>
          <w:rFonts w:cs="Times New Roman"/>
        </w:rPr>
        <w:lastRenderedPageBreak/>
        <w:t>Liste des figures</w:t>
      </w:r>
      <w:bookmarkEnd w:id="4"/>
    </w:p>
    <w:p w:rsidR="002379DD" w:rsidRPr="00B423E0" w:rsidRDefault="00AB1D5F">
      <w:pPr>
        <w:pStyle w:val="Tabledesillustrations"/>
        <w:tabs>
          <w:tab w:val="right" w:leader="dot" w:pos="9062"/>
        </w:tabs>
        <w:rPr>
          <w:rFonts w:ascii="Times New Roman" w:eastAsiaTheme="minorEastAsia" w:hAnsi="Times New Roman" w:cs="Times New Roman"/>
          <w:noProof/>
          <w:lang w:eastAsia="fr-FR"/>
        </w:rPr>
      </w:pPr>
      <w:r w:rsidRPr="00B423E0">
        <w:rPr>
          <w:rFonts w:ascii="Times New Roman" w:hAnsi="Times New Roman" w:cs="Times New Roman"/>
          <w:sz w:val="24"/>
          <w:szCs w:val="24"/>
        </w:rPr>
        <w:fldChar w:fldCharType="begin"/>
      </w:r>
      <w:r w:rsidRPr="00B423E0">
        <w:rPr>
          <w:rFonts w:ascii="Times New Roman" w:hAnsi="Times New Roman" w:cs="Times New Roman"/>
          <w:sz w:val="24"/>
          <w:szCs w:val="24"/>
        </w:rPr>
        <w:instrText xml:space="preserve"> TOC \h \z \c "Figure" </w:instrText>
      </w:r>
      <w:r w:rsidRPr="00B423E0">
        <w:rPr>
          <w:rFonts w:ascii="Times New Roman" w:hAnsi="Times New Roman" w:cs="Times New Roman"/>
          <w:sz w:val="24"/>
          <w:szCs w:val="24"/>
        </w:rPr>
        <w:fldChar w:fldCharType="separate"/>
      </w:r>
      <w:hyperlink w:anchor="_Toc34828016" w:history="1">
        <w:r w:rsidR="002379DD" w:rsidRPr="00B423E0">
          <w:rPr>
            <w:rStyle w:val="Lienhypertexte"/>
            <w:rFonts w:ascii="Times New Roman" w:hAnsi="Times New Roman" w:cs="Times New Roman"/>
            <w:b/>
            <w:iCs/>
            <w:noProof/>
          </w:rPr>
          <w:t>Figure 2</w:t>
        </w:r>
        <w:r w:rsidR="002379DD" w:rsidRPr="00B423E0">
          <w:rPr>
            <w:rStyle w:val="Lienhypertexte"/>
            <w:rFonts w:ascii="Times New Roman" w:hAnsi="Times New Roman" w:cs="Times New Roman"/>
            <w:i/>
            <w:iCs/>
            <w:noProof/>
          </w:rPr>
          <w:t xml:space="preserve"> : </w:t>
        </w:r>
        <w:r w:rsidR="002379DD" w:rsidRPr="00B423E0">
          <w:rPr>
            <w:rStyle w:val="Lienhypertexte"/>
            <w:rFonts w:ascii="Times New Roman" w:hAnsi="Times New Roman" w:cs="Times New Roman"/>
            <w:iCs/>
            <w:noProof/>
          </w:rPr>
          <w:t>Statut juridique des entreprises de vente en gros de céréales déclarées</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_Toc34828016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12</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17" w:history="1">
        <w:r w:rsidR="002379DD" w:rsidRPr="00B423E0">
          <w:rPr>
            <w:rStyle w:val="Lienhypertexte"/>
            <w:rFonts w:ascii="Times New Roman" w:hAnsi="Times New Roman" w:cs="Times New Roman"/>
            <w:b/>
            <w:iCs/>
            <w:noProof/>
          </w:rPr>
          <w:t>Figure 3 :</w:t>
        </w:r>
        <w:r w:rsidR="002379DD" w:rsidRPr="00B423E0">
          <w:rPr>
            <w:rStyle w:val="Lienhypertexte"/>
            <w:rFonts w:ascii="Times New Roman" w:hAnsi="Times New Roman" w:cs="Times New Roman"/>
            <w:iCs/>
            <w:noProof/>
          </w:rPr>
          <w:t xml:space="preserve"> Types d’organisations auxquelles adhèrent les entreprises de commercialisation en gros de céréales sèches</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_Toc34828017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13</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18" w:history="1">
        <w:r w:rsidR="002379DD" w:rsidRPr="00B423E0">
          <w:rPr>
            <w:rStyle w:val="Lienhypertexte"/>
            <w:rFonts w:ascii="Times New Roman" w:hAnsi="Times New Roman" w:cs="Times New Roman"/>
            <w:b/>
            <w:noProof/>
          </w:rPr>
          <w:t>Figure 4</w:t>
        </w:r>
        <w:r w:rsidR="002379DD" w:rsidRPr="00B423E0">
          <w:rPr>
            <w:rStyle w:val="Lienhypertexte"/>
            <w:rFonts w:ascii="Times New Roman" w:hAnsi="Times New Roman" w:cs="Times New Roman"/>
            <w:noProof/>
          </w:rPr>
          <w:t>:</w:t>
        </w:r>
        <w:r w:rsidR="002379DD" w:rsidRPr="00B423E0">
          <w:rPr>
            <w:rStyle w:val="Lienhypertexte"/>
            <w:rFonts w:ascii="Times New Roman" w:hAnsi="Times New Roman" w:cs="Times New Roman"/>
            <w:b/>
            <w:noProof/>
          </w:rPr>
          <w:t> :</w:t>
        </w:r>
        <w:r w:rsidR="002379DD" w:rsidRPr="00B423E0">
          <w:rPr>
            <w:rStyle w:val="Lienhypertexte"/>
            <w:rFonts w:ascii="Times New Roman" w:hAnsi="Times New Roman" w:cs="Times New Roman"/>
            <w:noProof/>
          </w:rPr>
          <w:t xml:space="preserve"> Quantités totales achetées par commerçant par an (en tonne)</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_Toc34828018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15</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19" w:history="1">
        <w:r w:rsidR="002379DD" w:rsidRPr="00B423E0">
          <w:rPr>
            <w:rStyle w:val="Lienhypertexte"/>
            <w:rFonts w:ascii="Times New Roman" w:hAnsi="Times New Roman" w:cs="Times New Roman"/>
            <w:b/>
            <w:noProof/>
          </w:rPr>
          <w:t>Figure 5</w:t>
        </w:r>
        <w:r w:rsidR="002379DD" w:rsidRPr="00B423E0">
          <w:rPr>
            <w:rStyle w:val="Lienhypertexte"/>
            <w:rFonts w:ascii="Times New Roman" w:hAnsi="Times New Roman" w:cs="Times New Roman"/>
            <w:noProof/>
          </w:rPr>
          <w:t> : Approvisionnement en céréales sur une semaine typique par période</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_Toc34828019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16</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20" w:history="1">
        <w:r w:rsidR="002379DD" w:rsidRPr="00B423E0">
          <w:rPr>
            <w:rStyle w:val="Lienhypertexte"/>
            <w:rFonts w:ascii="Times New Roman" w:hAnsi="Times New Roman" w:cs="Times New Roman"/>
            <w:b/>
            <w:noProof/>
          </w:rPr>
          <w:t>Figure 6</w:t>
        </w:r>
        <w:r w:rsidR="002379DD" w:rsidRPr="00B423E0">
          <w:rPr>
            <w:rStyle w:val="Lienhypertexte"/>
            <w:rFonts w:ascii="Times New Roman" w:hAnsi="Times New Roman" w:cs="Times New Roman"/>
            <w:noProof/>
          </w:rPr>
          <w:t> : Source de financement des entreprises de commercialisation en gros de céréales</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_Toc34828020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21</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21" w:history="1">
        <w:r w:rsidR="002379DD" w:rsidRPr="00B423E0">
          <w:rPr>
            <w:rStyle w:val="Lienhypertexte"/>
            <w:rFonts w:ascii="Times New Roman" w:hAnsi="Times New Roman" w:cs="Times New Roman"/>
            <w:b/>
            <w:iCs/>
            <w:noProof/>
          </w:rPr>
          <w:t>Figure 7 :</w:t>
        </w:r>
        <w:r w:rsidR="002379DD" w:rsidRPr="00B423E0">
          <w:rPr>
            <w:rStyle w:val="Lienhypertexte"/>
            <w:rFonts w:ascii="Times New Roman" w:hAnsi="Times New Roman" w:cs="Times New Roman"/>
            <w:iCs/>
            <w:noProof/>
          </w:rPr>
          <w:t xml:space="preserve"> Les types de contrats signés par les grossistes</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_Toc34828021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22</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22" w:history="1">
        <w:r w:rsidR="002379DD" w:rsidRPr="00B423E0">
          <w:rPr>
            <w:rStyle w:val="Lienhypertexte"/>
            <w:rFonts w:ascii="Times New Roman" w:hAnsi="Times New Roman" w:cs="Times New Roman"/>
            <w:b/>
            <w:iCs/>
            <w:noProof/>
          </w:rPr>
          <w:t>Figure 8</w:t>
        </w:r>
        <w:r w:rsidR="002379DD" w:rsidRPr="00B423E0">
          <w:rPr>
            <w:rStyle w:val="Lienhypertexte"/>
            <w:rFonts w:ascii="Times New Roman" w:hAnsi="Times New Roman" w:cs="Times New Roman"/>
            <w:iCs/>
            <w:noProof/>
          </w:rPr>
          <w:t xml:space="preserve"> : les résultats de la contractualisation</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_Toc34828022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23</w:t>
        </w:r>
        <w:r w:rsidR="002379DD" w:rsidRPr="00B423E0">
          <w:rPr>
            <w:rFonts w:ascii="Times New Roman" w:hAnsi="Times New Roman" w:cs="Times New Roman"/>
            <w:noProof/>
            <w:webHidden/>
          </w:rPr>
          <w:fldChar w:fldCharType="end"/>
        </w:r>
      </w:hyperlink>
    </w:p>
    <w:p w:rsidR="002379DD" w:rsidRPr="00B423E0" w:rsidRDefault="006A157C">
      <w:pPr>
        <w:pStyle w:val="Tabledesillustrations"/>
        <w:tabs>
          <w:tab w:val="right" w:leader="dot" w:pos="9062"/>
        </w:tabs>
        <w:rPr>
          <w:rFonts w:ascii="Times New Roman" w:eastAsiaTheme="minorEastAsia" w:hAnsi="Times New Roman" w:cs="Times New Roman"/>
          <w:noProof/>
          <w:lang w:eastAsia="fr-FR"/>
        </w:rPr>
      </w:pPr>
      <w:hyperlink w:anchor="_Toc34828023" w:history="1">
        <w:r w:rsidR="002379DD" w:rsidRPr="00B423E0">
          <w:rPr>
            <w:rStyle w:val="Lienhypertexte"/>
            <w:rFonts w:ascii="Times New Roman" w:hAnsi="Times New Roman" w:cs="Times New Roman"/>
            <w:b/>
            <w:iCs/>
            <w:noProof/>
          </w:rPr>
          <w:t>Figure 9</w:t>
        </w:r>
        <w:r w:rsidR="002379DD" w:rsidRPr="00B423E0">
          <w:rPr>
            <w:rStyle w:val="Lienhypertexte"/>
            <w:rFonts w:ascii="Times New Roman" w:hAnsi="Times New Roman" w:cs="Times New Roman"/>
            <w:noProof/>
          </w:rPr>
          <w:t xml:space="preserve"> : </w:t>
        </w:r>
        <w:r w:rsidR="002379DD" w:rsidRPr="00B423E0">
          <w:rPr>
            <w:rStyle w:val="Lienhypertexte"/>
            <w:rFonts w:ascii="Times New Roman" w:hAnsi="Times New Roman" w:cs="Times New Roman"/>
            <w:iCs/>
            <w:noProof/>
          </w:rPr>
          <w:t>Quantités totales de céréales sèches vendues par les grossistes en moyenne par an (en tonne)</w:t>
        </w:r>
        <w:r w:rsidR="002379DD" w:rsidRPr="00B423E0">
          <w:rPr>
            <w:rFonts w:ascii="Times New Roman" w:hAnsi="Times New Roman" w:cs="Times New Roman"/>
            <w:noProof/>
            <w:webHidden/>
          </w:rPr>
          <w:tab/>
        </w:r>
        <w:r w:rsidR="002379DD" w:rsidRPr="00B423E0">
          <w:rPr>
            <w:rFonts w:ascii="Times New Roman" w:hAnsi="Times New Roman" w:cs="Times New Roman"/>
            <w:noProof/>
            <w:webHidden/>
          </w:rPr>
          <w:fldChar w:fldCharType="begin"/>
        </w:r>
        <w:r w:rsidR="002379DD" w:rsidRPr="00B423E0">
          <w:rPr>
            <w:rFonts w:ascii="Times New Roman" w:hAnsi="Times New Roman" w:cs="Times New Roman"/>
            <w:noProof/>
            <w:webHidden/>
          </w:rPr>
          <w:instrText xml:space="preserve"> PAGEREF _Toc34828023 \h </w:instrText>
        </w:r>
        <w:r w:rsidR="002379DD" w:rsidRPr="00B423E0">
          <w:rPr>
            <w:rFonts w:ascii="Times New Roman" w:hAnsi="Times New Roman" w:cs="Times New Roman"/>
            <w:noProof/>
            <w:webHidden/>
          </w:rPr>
        </w:r>
        <w:r w:rsidR="002379DD" w:rsidRPr="00B423E0">
          <w:rPr>
            <w:rFonts w:ascii="Times New Roman" w:hAnsi="Times New Roman" w:cs="Times New Roman"/>
            <w:noProof/>
            <w:webHidden/>
          </w:rPr>
          <w:fldChar w:fldCharType="separate"/>
        </w:r>
        <w:r w:rsidR="002379DD" w:rsidRPr="00B423E0">
          <w:rPr>
            <w:rFonts w:ascii="Times New Roman" w:hAnsi="Times New Roman" w:cs="Times New Roman"/>
            <w:noProof/>
            <w:webHidden/>
          </w:rPr>
          <w:t>28</w:t>
        </w:r>
        <w:r w:rsidR="002379DD" w:rsidRPr="00B423E0">
          <w:rPr>
            <w:rFonts w:ascii="Times New Roman" w:hAnsi="Times New Roman" w:cs="Times New Roman"/>
            <w:noProof/>
            <w:webHidden/>
          </w:rPr>
          <w:fldChar w:fldCharType="end"/>
        </w:r>
      </w:hyperlink>
    </w:p>
    <w:p w:rsidR="00AB1D5F" w:rsidRPr="00B423E0" w:rsidRDefault="00AB1D5F" w:rsidP="00AB1D5F">
      <w:pPr>
        <w:jc w:val="both"/>
        <w:rPr>
          <w:rFonts w:ascii="Times New Roman" w:hAnsi="Times New Roman" w:cs="Times New Roman"/>
        </w:rPr>
      </w:pPr>
      <w:r w:rsidRPr="00B423E0">
        <w:rPr>
          <w:rFonts w:ascii="Times New Roman" w:hAnsi="Times New Roman" w:cs="Times New Roman"/>
          <w:sz w:val="24"/>
          <w:szCs w:val="24"/>
        </w:rPr>
        <w:fldChar w:fldCharType="end"/>
      </w:r>
    </w:p>
    <w:p w:rsidR="00AB1D5F" w:rsidRPr="00B423E0" w:rsidRDefault="00AB1D5F" w:rsidP="00AB1D5F">
      <w:pPr>
        <w:rPr>
          <w:rFonts w:ascii="Times New Roman" w:eastAsiaTheme="majorEastAsia" w:hAnsi="Times New Roman" w:cs="Times New Roman"/>
          <w:color w:val="44546A" w:themeColor="text2"/>
          <w:sz w:val="32"/>
          <w:szCs w:val="32"/>
        </w:rPr>
      </w:pPr>
      <w:r w:rsidRPr="00B423E0">
        <w:rPr>
          <w:rFonts w:ascii="Times New Roman" w:hAnsi="Times New Roman" w:cs="Times New Roman"/>
        </w:rPr>
        <w:br w:type="page"/>
      </w:r>
    </w:p>
    <w:p w:rsidR="00AB1D5F" w:rsidRPr="00B423E0" w:rsidRDefault="00AB1D5F" w:rsidP="00AB1D5F">
      <w:pPr>
        <w:pStyle w:val="Titre1"/>
        <w:numPr>
          <w:ilvl w:val="0"/>
          <w:numId w:val="0"/>
        </w:numPr>
        <w:rPr>
          <w:rFonts w:cs="Times New Roman"/>
        </w:rPr>
      </w:pPr>
      <w:bookmarkStart w:id="5" w:name="_Toc34730688"/>
      <w:r w:rsidRPr="00B423E0">
        <w:rPr>
          <w:rFonts w:cs="Times New Roman"/>
        </w:rPr>
        <w:lastRenderedPageBreak/>
        <w:t>Sigles et acronymes</w:t>
      </w:r>
      <w:bookmarkEnd w:id="5"/>
    </w:p>
    <w:p w:rsidR="00AB1D5F" w:rsidRPr="00B423E0" w:rsidRDefault="00AB1D5F" w:rsidP="00AB1D5F">
      <w:pPr>
        <w:ind w:left="2832" w:hanging="2832"/>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ANSD</w:t>
      </w:r>
      <w:r w:rsidRPr="00B423E0">
        <w:rPr>
          <w:rFonts w:ascii="Times New Roman" w:hAnsi="Times New Roman" w:cs="Times New Roman"/>
          <w:color w:val="000000"/>
          <w:sz w:val="24"/>
          <w:szCs w:val="24"/>
        </w:rPr>
        <w:tab/>
        <w:t>Agence Nationale de la Statistique et de la Démographie</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BAME</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Bureau d’Analyses Macroéconomiques</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BM</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Banque Mondiale</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CGV</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Chaîne Globale de Valeurs</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DRDR</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Direction Régionale du Développement Rural</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DR</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District de Recensement</w:t>
      </w:r>
    </w:p>
    <w:p w:rsidR="00AB1D5F" w:rsidRPr="00B423E0" w:rsidRDefault="00AB1D5F" w:rsidP="00AB1D5F">
      <w:pPr>
        <w:ind w:left="2832" w:hanging="2832"/>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ESPS</w:t>
      </w:r>
      <w:r w:rsidRPr="00B423E0">
        <w:rPr>
          <w:rFonts w:ascii="Times New Roman" w:hAnsi="Times New Roman" w:cs="Times New Roman"/>
          <w:color w:val="000000"/>
          <w:sz w:val="24"/>
          <w:szCs w:val="24"/>
        </w:rPr>
        <w:tab/>
        <w:t>Enquête de Suivi de la Pauvreté au Sénégal</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FAO</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 xml:space="preserve">Food and Agriculture </w:t>
      </w:r>
      <w:proofErr w:type="spellStart"/>
      <w:r w:rsidRPr="00B423E0">
        <w:rPr>
          <w:rFonts w:ascii="Times New Roman" w:hAnsi="Times New Roman" w:cs="Times New Roman"/>
          <w:color w:val="000000"/>
          <w:sz w:val="24"/>
          <w:szCs w:val="24"/>
        </w:rPr>
        <w:t>Organization</w:t>
      </w:r>
      <w:proofErr w:type="spellEnd"/>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IFPRI</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Institut International de Recherche sur les Politiques</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 xml:space="preserve">                                               Alimentaires           </w:t>
      </w:r>
    </w:p>
    <w:p w:rsidR="00AB1D5F" w:rsidRPr="00B423E0" w:rsidRDefault="00AB1D5F" w:rsidP="00AB1D5F">
      <w:pPr>
        <w:tabs>
          <w:tab w:val="left" w:pos="708"/>
          <w:tab w:val="left" w:pos="2865"/>
        </w:tabs>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IPAR</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Initiative Prospective Agricole et Rural</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ISRA</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Institut Sénégalais de Recherches Agricoles</w:t>
      </w:r>
    </w:p>
    <w:p w:rsidR="00AB1D5F" w:rsidRPr="00B423E0" w:rsidRDefault="00AB1D5F" w:rsidP="00AB1D5F">
      <w:pPr>
        <w:ind w:left="2832" w:hanging="2832"/>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ITA</w:t>
      </w:r>
      <w:r w:rsidRPr="00B423E0">
        <w:rPr>
          <w:rFonts w:ascii="Times New Roman" w:hAnsi="Times New Roman" w:cs="Times New Roman"/>
          <w:color w:val="000000"/>
          <w:sz w:val="24"/>
          <w:szCs w:val="24"/>
        </w:rPr>
        <w:tab/>
        <w:t>Institut de Technologies Alimentaires</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MAER</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Ministère de l’Agriculture et de l’Equipement Rural</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MSU</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 xml:space="preserve">Michigan State </w:t>
      </w:r>
      <w:proofErr w:type="spellStart"/>
      <w:r w:rsidRPr="00B423E0">
        <w:rPr>
          <w:rFonts w:ascii="Times New Roman" w:hAnsi="Times New Roman" w:cs="Times New Roman"/>
          <w:color w:val="000000"/>
          <w:sz w:val="24"/>
          <w:szCs w:val="24"/>
        </w:rPr>
        <w:t>University</w:t>
      </w:r>
      <w:proofErr w:type="spellEnd"/>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ONG</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Organisation Non Gouvernementale</w:t>
      </w:r>
    </w:p>
    <w:p w:rsidR="00AB1D5F" w:rsidRPr="00B423E0" w:rsidRDefault="00AB1D5F" w:rsidP="00AB1D5F">
      <w:pPr>
        <w:ind w:left="2832" w:hanging="2832"/>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OP</w:t>
      </w:r>
      <w:r w:rsidRPr="00B423E0">
        <w:rPr>
          <w:rFonts w:ascii="Times New Roman" w:hAnsi="Times New Roman" w:cs="Times New Roman"/>
          <w:color w:val="000000"/>
          <w:sz w:val="24"/>
          <w:szCs w:val="24"/>
        </w:rPr>
        <w:tab/>
        <w:t>Organisation de Producteurs</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PAPA</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Projet d’Appui aux Politiques Agricoles</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PIB</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Produit Intérieur Brut</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PME</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Petite et Moyenne Entreprise</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PPAAO</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Programme de Productivité Agricole en Afrique de l’Ouest</w:t>
      </w:r>
    </w:p>
    <w:p w:rsidR="00AB1D5F" w:rsidRPr="00B423E0" w:rsidRDefault="00AB1D5F" w:rsidP="00AB1D5F">
      <w:pPr>
        <w:ind w:left="2832" w:hanging="2832"/>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PRACAS</w:t>
      </w:r>
      <w:r w:rsidRPr="00B423E0">
        <w:rPr>
          <w:rFonts w:ascii="Times New Roman" w:hAnsi="Times New Roman" w:cs="Times New Roman"/>
          <w:color w:val="000000"/>
          <w:sz w:val="24"/>
          <w:szCs w:val="24"/>
        </w:rPr>
        <w:tab/>
        <w:t>Programme de Relance et d’Accélération de la Cadence de l’Agriculture Sénégalaise</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PSE</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Plan Sénégal Emergent</w:t>
      </w:r>
    </w:p>
    <w:p w:rsidR="00AB1D5F" w:rsidRPr="00B423E0" w:rsidRDefault="00AB1D5F" w:rsidP="00AB1D5F">
      <w:pPr>
        <w:ind w:left="2832" w:hanging="2832"/>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RGPHAE</w:t>
      </w:r>
      <w:r w:rsidRPr="00B423E0">
        <w:rPr>
          <w:rFonts w:ascii="Times New Roman" w:hAnsi="Times New Roman" w:cs="Times New Roman"/>
          <w:color w:val="000000"/>
          <w:sz w:val="24"/>
          <w:szCs w:val="24"/>
        </w:rPr>
        <w:tab/>
        <w:t>Recensement Général de Population et de l’Habitat, de l’Agriculture et de l’Elevage</w:t>
      </w:r>
    </w:p>
    <w:p w:rsidR="00AB1D5F" w:rsidRPr="00B423E0" w:rsidRDefault="00AB1D5F" w:rsidP="00AB1D5F">
      <w:pPr>
        <w:tabs>
          <w:tab w:val="left" w:pos="2880"/>
        </w:tabs>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SCP</w:t>
      </w:r>
      <w:r w:rsidRPr="00B423E0">
        <w:rPr>
          <w:rFonts w:ascii="Times New Roman" w:hAnsi="Times New Roman" w:cs="Times New Roman"/>
          <w:color w:val="000000"/>
          <w:sz w:val="24"/>
          <w:szCs w:val="24"/>
        </w:rPr>
        <w:tab/>
        <w:t>Structure Comportement Performance</w:t>
      </w:r>
    </w:p>
    <w:p w:rsidR="00AB1D5F" w:rsidRPr="00B423E0" w:rsidRDefault="00AB1D5F" w:rsidP="00AB1D5F">
      <w:pPr>
        <w:jc w:val="both"/>
        <w:rPr>
          <w:rFonts w:ascii="Times New Roman" w:hAnsi="Times New Roman" w:cs="Times New Roman"/>
          <w:color w:val="000000"/>
          <w:sz w:val="24"/>
          <w:szCs w:val="24"/>
        </w:rPr>
      </w:pPr>
      <w:r w:rsidRPr="00B423E0">
        <w:rPr>
          <w:rFonts w:ascii="Times New Roman" w:hAnsi="Times New Roman" w:cs="Times New Roman"/>
          <w:color w:val="000000"/>
          <w:sz w:val="24"/>
          <w:szCs w:val="24"/>
        </w:rPr>
        <w:t>SDDR</w:t>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r>
      <w:r w:rsidRPr="00B423E0">
        <w:rPr>
          <w:rFonts w:ascii="Times New Roman" w:hAnsi="Times New Roman" w:cs="Times New Roman"/>
          <w:color w:val="000000"/>
          <w:sz w:val="24"/>
          <w:szCs w:val="24"/>
        </w:rPr>
        <w:tab/>
        <w:t>Service Départemental du Développement Rural</w:t>
      </w:r>
    </w:p>
    <w:p w:rsidR="00AB1D5F" w:rsidRPr="00B423E0" w:rsidRDefault="00AB1D5F" w:rsidP="00AB1D5F">
      <w:pPr>
        <w:jc w:val="both"/>
        <w:rPr>
          <w:rFonts w:ascii="Times New Roman" w:hAnsi="Times New Roman" w:cs="Times New Roman"/>
          <w:color w:val="000000"/>
          <w:sz w:val="24"/>
          <w:szCs w:val="24"/>
          <w:lang w:val="en-GB"/>
        </w:rPr>
      </w:pPr>
      <w:r w:rsidRPr="00B423E0">
        <w:rPr>
          <w:rFonts w:ascii="Times New Roman" w:hAnsi="Times New Roman" w:cs="Times New Roman"/>
          <w:color w:val="000000"/>
          <w:sz w:val="24"/>
          <w:szCs w:val="24"/>
          <w:lang w:val="en-US"/>
        </w:rPr>
        <w:t>SWOT</w:t>
      </w:r>
      <w:r w:rsidRPr="00B423E0">
        <w:rPr>
          <w:rFonts w:ascii="Times New Roman" w:hAnsi="Times New Roman" w:cs="Times New Roman"/>
          <w:color w:val="000000"/>
          <w:sz w:val="24"/>
          <w:szCs w:val="24"/>
          <w:lang w:val="en-US"/>
        </w:rPr>
        <w:tab/>
      </w:r>
      <w:r w:rsidRPr="00B423E0">
        <w:rPr>
          <w:rFonts w:ascii="Times New Roman" w:hAnsi="Times New Roman" w:cs="Times New Roman"/>
          <w:color w:val="000000"/>
          <w:sz w:val="24"/>
          <w:szCs w:val="24"/>
          <w:lang w:val="en-US"/>
        </w:rPr>
        <w:tab/>
      </w:r>
      <w:r w:rsidRPr="00B423E0">
        <w:rPr>
          <w:rFonts w:ascii="Times New Roman" w:hAnsi="Times New Roman" w:cs="Times New Roman"/>
          <w:color w:val="000000"/>
          <w:sz w:val="24"/>
          <w:szCs w:val="24"/>
          <w:lang w:val="en-US"/>
        </w:rPr>
        <w:tab/>
      </w:r>
      <w:r w:rsidRPr="00B423E0">
        <w:rPr>
          <w:rFonts w:ascii="Times New Roman" w:hAnsi="Times New Roman" w:cs="Times New Roman"/>
          <w:color w:val="000000"/>
          <w:sz w:val="24"/>
          <w:szCs w:val="24"/>
          <w:lang w:val="en-US"/>
        </w:rPr>
        <w:tab/>
      </w:r>
      <w:r w:rsidRPr="00B423E0">
        <w:rPr>
          <w:rFonts w:ascii="Times New Roman" w:hAnsi="Times New Roman" w:cs="Times New Roman"/>
          <w:color w:val="000000"/>
          <w:sz w:val="24"/>
          <w:szCs w:val="24"/>
          <w:shd w:val="clear" w:color="auto" w:fill="FFFFFF"/>
          <w:lang w:val="en-GB"/>
        </w:rPr>
        <w:t>Strengths Weaknesses Opportunities and Threats</w:t>
      </w:r>
    </w:p>
    <w:p w:rsidR="00AB1D5F" w:rsidRPr="00B423E0" w:rsidRDefault="00AB1D5F" w:rsidP="00AB1D5F">
      <w:pPr>
        <w:jc w:val="both"/>
        <w:rPr>
          <w:rFonts w:ascii="Times New Roman" w:hAnsi="Times New Roman" w:cs="Times New Roman"/>
          <w:color w:val="000000"/>
          <w:sz w:val="24"/>
          <w:szCs w:val="24"/>
          <w:lang w:val="en-GB"/>
        </w:rPr>
      </w:pPr>
      <w:r w:rsidRPr="00B423E0">
        <w:rPr>
          <w:rFonts w:ascii="Times New Roman" w:hAnsi="Times New Roman" w:cs="Times New Roman"/>
          <w:color w:val="000000"/>
          <w:sz w:val="24"/>
          <w:szCs w:val="24"/>
          <w:lang w:val="en-GB"/>
        </w:rPr>
        <w:t>USAID</w:t>
      </w:r>
      <w:r w:rsidRPr="00B423E0">
        <w:rPr>
          <w:rFonts w:ascii="Times New Roman" w:hAnsi="Times New Roman" w:cs="Times New Roman"/>
          <w:color w:val="000000"/>
          <w:sz w:val="24"/>
          <w:szCs w:val="24"/>
          <w:lang w:val="en-GB"/>
        </w:rPr>
        <w:tab/>
      </w:r>
      <w:r w:rsidRPr="00B423E0">
        <w:rPr>
          <w:rFonts w:ascii="Times New Roman" w:hAnsi="Times New Roman" w:cs="Times New Roman"/>
          <w:color w:val="000000"/>
          <w:sz w:val="24"/>
          <w:szCs w:val="24"/>
          <w:lang w:val="en-GB"/>
        </w:rPr>
        <w:tab/>
      </w:r>
      <w:r w:rsidRPr="00B423E0">
        <w:rPr>
          <w:rFonts w:ascii="Times New Roman" w:hAnsi="Times New Roman" w:cs="Times New Roman"/>
          <w:color w:val="000000"/>
          <w:sz w:val="24"/>
          <w:szCs w:val="24"/>
          <w:lang w:val="en-GB"/>
        </w:rPr>
        <w:tab/>
      </w:r>
      <w:r w:rsidRPr="00B423E0">
        <w:rPr>
          <w:rFonts w:ascii="Times New Roman" w:hAnsi="Times New Roman" w:cs="Times New Roman"/>
          <w:color w:val="000000"/>
          <w:sz w:val="24"/>
          <w:szCs w:val="24"/>
          <w:shd w:val="clear" w:color="auto" w:fill="FFFFFF"/>
          <w:lang w:val="en-GB"/>
        </w:rPr>
        <w:t>United States Agency for International Development</w:t>
      </w:r>
    </w:p>
    <w:p w:rsidR="00AB1D5F" w:rsidRPr="00B423E0" w:rsidRDefault="00AB1D5F" w:rsidP="00AB1D5F">
      <w:pPr>
        <w:jc w:val="both"/>
        <w:rPr>
          <w:rFonts w:ascii="Times New Roman" w:hAnsi="Times New Roman" w:cs="Times New Roman"/>
          <w:color w:val="000000"/>
          <w:sz w:val="24"/>
          <w:szCs w:val="24"/>
          <w:lang w:val="en-US"/>
        </w:rPr>
      </w:pPr>
      <w:r w:rsidRPr="00B423E0">
        <w:rPr>
          <w:rFonts w:ascii="Times New Roman" w:hAnsi="Times New Roman" w:cs="Times New Roman"/>
          <w:color w:val="000000"/>
          <w:sz w:val="24"/>
          <w:szCs w:val="24"/>
          <w:lang w:val="en-US"/>
        </w:rPr>
        <w:lastRenderedPageBreak/>
        <w:t>WAAPP</w:t>
      </w:r>
      <w:r w:rsidRPr="00B423E0">
        <w:rPr>
          <w:rFonts w:ascii="Times New Roman" w:hAnsi="Times New Roman" w:cs="Times New Roman"/>
          <w:color w:val="000000"/>
          <w:sz w:val="24"/>
          <w:szCs w:val="24"/>
          <w:lang w:val="en-US"/>
        </w:rPr>
        <w:tab/>
      </w:r>
      <w:r w:rsidRPr="00B423E0">
        <w:rPr>
          <w:rFonts w:ascii="Times New Roman" w:hAnsi="Times New Roman" w:cs="Times New Roman"/>
          <w:color w:val="000000"/>
          <w:sz w:val="24"/>
          <w:szCs w:val="24"/>
          <w:lang w:val="en-US"/>
        </w:rPr>
        <w:tab/>
      </w:r>
      <w:r w:rsidRPr="00B423E0">
        <w:rPr>
          <w:rFonts w:ascii="Times New Roman" w:hAnsi="Times New Roman" w:cs="Times New Roman"/>
          <w:color w:val="000000"/>
          <w:sz w:val="24"/>
          <w:szCs w:val="24"/>
          <w:lang w:val="en-US"/>
        </w:rPr>
        <w:tab/>
        <w:t>West Africa Agricultural Productivity Program</w:t>
      </w:r>
    </w:p>
    <w:p w:rsidR="00AB1D5F" w:rsidRPr="00B423E0" w:rsidRDefault="00AB1D5F" w:rsidP="00AB1D5F">
      <w:pPr>
        <w:jc w:val="both"/>
        <w:rPr>
          <w:rFonts w:ascii="Times New Roman" w:hAnsi="Times New Roman" w:cs="Times New Roman"/>
          <w:color w:val="000000"/>
          <w:sz w:val="24"/>
          <w:szCs w:val="24"/>
          <w:lang w:val="en-US"/>
        </w:rPr>
      </w:pPr>
    </w:p>
    <w:p w:rsidR="00AB1D5F" w:rsidRPr="00B423E0" w:rsidRDefault="00AB1D5F" w:rsidP="00AB1D5F">
      <w:pPr>
        <w:pStyle w:val="Titre1"/>
        <w:numPr>
          <w:ilvl w:val="0"/>
          <w:numId w:val="0"/>
        </w:numPr>
        <w:rPr>
          <w:rFonts w:cs="Times New Roman"/>
        </w:rPr>
      </w:pPr>
      <w:bookmarkStart w:id="6" w:name="_Toc34730689"/>
      <w:r w:rsidRPr="00B423E0">
        <w:rPr>
          <w:rFonts w:cs="Times New Roman"/>
        </w:rPr>
        <w:t>Lexique</w:t>
      </w:r>
      <w:bookmarkEnd w:id="6"/>
      <w:r w:rsidRPr="00B423E0">
        <w:rPr>
          <w:rFonts w:cs="Times New Roman"/>
        </w:rPr>
        <w:t xml:space="preserve"> </w:t>
      </w:r>
    </w:p>
    <w:p w:rsidR="00AB1D5F" w:rsidRPr="00B423E0" w:rsidRDefault="00AB1D5F" w:rsidP="00AB1D5F">
      <w:pPr>
        <w:jc w:val="both"/>
        <w:rPr>
          <w:rFonts w:ascii="Times New Roman" w:hAnsi="Times New Roman" w:cs="Times New Roman"/>
          <w:color w:val="000000"/>
          <w:sz w:val="24"/>
          <w:szCs w:val="24"/>
        </w:rPr>
      </w:pPr>
      <w:proofErr w:type="spellStart"/>
      <w:r w:rsidRPr="00B423E0">
        <w:rPr>
          <w:rFonts w:ascii="Times New Roman" w:hAnsi="Times New Roman" w:cs="Times New Roman"/>
          <w:i/>
          <w:color w:val="000000"/>
          <w:sz w:val="24"/>
          <w:szCs w:val="24"/>
        </w:rPr>
        <w:t>Bana-bana</w:t>
      </w:r>
      <w:proofErr w:type="spellEnd"/>
      <w:r w:rsidRPr="00B423E0">
        <w:rPr>
          <w:rFonts w:ascii="Times New Roman" w:hAnsi="Times New Roman" w:cs="Times New Roman"/>
          <w:i/>
          <w:color w:val="000000"/>
          <w:sz w:val="24"/>
          <w:szCs w:val="24"/>
        </w:rPr>
        <w:t> :</w:t>
      </w:r>
      <w:r w:rsidRPr="00B423E0">
        <w:rPr>
          <w:rFonts w:ascii="Times New Roman" w:hAnsi="Times New Roman" w:cs="Times New Roman"/>
          <w:color w:val="000000"/>
          <w:sz w:val="24"/>
          <w:szCs w:val="24"/>
        </w:rPr>
        <w:t xml:space="preserve"> Collecteurs de produits agricoles en milieu rural qui les achemine vers des zones rurales, péri-urbaines ou urbaines, pour l’approvisionnement des commerçants et des transformateurs. </w:t>
      </w:r>
    </w:p>
    <w:p w:rsidR="00AB1D5F" w:rsidRPr="00B423E0" w:rsidRDefault="00AB1D5F" w:rsidP="00AB1D5F">
      <w:pPr>
        <w:jc w:val="both"/>
        <w:rPr>
          <w:rFonts w:ascii="Times New Roman" w:hAnsi="Times New Roman" w:cs="Times New Roman"/>
          <w:color w:val="000000"/>
          <w:sz w:val="24"/>
          <w:szCs w:val="24"/>
        </w:rPr>
      </w:pPr>
      <w:proofErr w:type="spellStart"/>
      <w:r w:rsidRPr="00B423E0">
        <w:rPr>
          <w:rFonts w:ascii="Times New Roman" w:hAnsi="Times New Roman" w:cs="Times New Roman"/>
          <w:i/>
          <w:color w:val="000000"/>
          <w:sz w:val="24"/>
          <w:szCs w:val="24"/>
        </w:rPr>
        <w:t>Laax</w:t>
      </w:r>
      <w:proofErr w:type="spellEnd"/>
      <w:r w:rsidRPr="00B423E0">
        <w:rPr>
          <w:rFonts w:ascii="Times New Roman" w:hAnsi="Times New Roman" w:cs="Times New Roman"/>
          <w:i/>
          <w:color w:val="000000"/>
          <w:sz w:val="24"/>
          <w:szCs w:val="24"/>
        </w:rPr>
        <w:t> :</w:t>
      </w:r>
      <w:r w:rsidRPr="00B423E0">
        <w:rPr>
          <w:rFonts w:ascii="Times New Roman" w:hAnsi="Times New Roman" w:cs="Times New Roman"/>
          <w:color w:val="000000"/>
          <w:sz w:val="24"/>
          <w:szCs w:val="24"/>
        </w:rPr>
        <w:t xml:space="preserve"> Plat composé d’une bouillie de farine de mil roulée avec du lait caillé.</w:t>
      </w:r>
    </w:p>
    <w:p w:rsidR="00AB1D5F" w:rsidRPr="00B423E0" w:rsidRDefault="00AB1D5F" w:rsidP="00AB1D5F">
      <w:pPr>
        <w:jc w:val="both"/>
        <w:rPr>
          <w:rFonts w:ascii="Times New Roman" w:hAnsi="Times New Roman" w:cs="Times New Roman"/>
          <w:color w:val="000000"/>
          <w:sz w:val="24"/>
          <w:szCs w:val="24"/>
        </w:rPr>
      </w:pPr>
      <w:proofErr w:type="spellStart"/>
      <w:r w:rsidRPr="00B423E0">
        <w:rPr>
          <w:rFonts w:ascii="Times New Roman" w:hAnsi="Times New Roman" w:cs="Times New Roman"/>
          <w:i/>
          <w:color w:val="000000"/>
          <w:sz w:val="24"/>
          <w:szCs w:val="24"/>
        </w:rPr>
        <w:t>Thiacry</w:t>
      </w:r>
      <w:proofErr w:type="spellEnd"/>
      <w:r w:rsidRPr="00B423E0">
        <w:rPr>
          <w:rFonts w:ascii="Times New Roman" w:hAnsi="Times New Roman" w:cs="Times New Roman"/>
          <w:i/>
          <w:color w:val="000000"/>
          <w:sz w:val="24"/>
          <w:szCs w:val="24"/>
        </w:rPr>
        <w:t> :</w:t>
      </w:r>
      <w:r w:rsidRPr="00B423E0">
        <w:rPr>
          <w:rFonts w:ascii="Times New Roman" w:hAnsi="Times New Roman" w:cs="Times New Roman"/>
          <w:color w:val="000000"/>
          <w:sz w:val="24"/>
          <w:szCs w:val="24"/>
        </w:rPr>
        <w:t xml:space="preserve"> Farine de céréale roulée et cuite à la vapeur, généralement fait à base de mil, riz, sorgho, fonio ou maïs.</w:t>
      </w:r>
    </w:p>
    <w:p w:rsidR="00AB1D5F" w:rsidRPr="00B423E0" w:rsidRDefault="00AB1D5F" w:rsidP="00AB1D5F">
      <w:pPr>
        <w:rPr>
          <w:rFonts w:ascii="Times New Roman" w:hAnsi="Times New Roman" w:cs="Times New Roman"/>
        </w:rPr>
      </w:pPr>
    </w:p>
    <w:p w:rsidR="00AB1D5F" w:rsidRPr="00B423E0" w:rsidRDefault="00AB1D5F" w:rsidP="00AB1D5F">
      <w:pPr>
        <w:rPr>
          <w:rFonts w:ascii="Times New Roman" w:eastAsiaTheme="majorEastAsia" w:hAnsi="Times New Roman" w:cs="Times New Roman"/>
          <w:color w:val="44546A" w:themeColor="text2"/>
          <w:sz w:val="32"/>
          <w:szCs w:val="32"/>
        </w:rPr>
      </w:pPr>
      <w:r w:rsidRPr="00B423E0">
        <w:rPr>
          <w:rFonts w:ascii="Times New Roman" w:hAnsi="Times New Roman" w:cs="Times New Roman"/>
        </w:rPr>
        <w:br w:type="page"/>
      </w:r>
    </w:p>
    <w:p w:rsidR="00AB1D5F" w:rsidRPr="00B423E0" w:rsidRDefault="00AB1D5F" w:rsidP="00AB1D5F">
      <w:pPr>
        <w:pStyle w:val="Titre1"/>
        <w:numPr>
          <w:ilvl w:val="0"/>
          <w:numId w:val="0"/>
        </w:numPr>
        <w:rPr>
          <w:rFonts w:cs="Times New Roman"/>
        </w:rPr>
      </w:pPr>
      <w:bookmarkStart w:id="7" w:name="_Toc4162861"/>
      <w:bookmarkStart w:id="8" w:name="_Toc34730690"/>
      <w:r w:rsidRPr="00B423E0">
        <w:rPr>
          <w:rFonts w:cs="Times New Roman"/>
        </w:rPr>
        <w:lastRenderedPageBreak/>
        <w:t>Sommaire</w:t>
      </w:r>
      <w:bookmarkEnd w:id="7"/>
      <w:bookmarkEnd w:id="8"/>
    </w:p>
    <w:p w:rsidR="002C0670" w:rsidRPr="00B423E0" w:rsidRDefault="00AB1D5F">
      <w:pPr>
        <w:pStyle w:val="TM1"/>
        <w:rPr>
          <w:rFonts w:eastAsiaTheme="minorEastAsia"/>
          <w:b w:val="0"/>
          <w:sz w:val="22"/>
          <w:szCs w:val="22"/>
          <w:lang w:eastAsia="fr-FR"/>
        </w:rPr>
      </w:pPr>
      <w:r w:rsidRPr="00B423E0">
        <w:fldChar w:fldCharType="begin"/>
      </w:r>
      <w:r w:rsidRPr="00B423E0">
        <w:instrText xml:space="preserve"> TOC \o "1-2" \h \z \u </w:instrText>
      </w:r>
      <w:r w:rsidRPr="00B423E0">
        <w:fldChar w:fldCharType="separate"/>
      </w:r>
      <w:hyperlink w:anchor="_Toc34730685" w:history="1">
        <w:r w:rsidR="002C0670" w:rsidRPr="00B423E0">
          <w:rPr>
            <w:rStyle w:val="Lienhypertexte"/>
          </w:rPr>
          <w:t>Liste des auteurs</w:t>
        </w:r>
        <w:r w:rsidR="002C0670" w:rsidRPr="00B423E0">
          <w:rPr>
            <w:webHidden/>
          </w:rPr>
          <w:tab/>
        </w:r>
        <w:r w:rsidR="002C0670" w:rsidRPr="00B423E0">
          <w:rPr>
            <w:webHidden/>
          </w:rPr>
          <w:fldChar w:fldCharType="begin"/>
        </w:r>
        <w:r w:rsidR="002C0670" w:rsidRPr="00B423E0">
          <w:rPr>
            <w:webHidden/>
          </w:rPr>
          <w:instrText xml:space="preserve"> PAGEREF _Toc34730685 \h </w:instrText>
        </w:r>
        <w:r w:rsidR="002C0670" w:rsidRPr="00B423E0">
          <w:rPr>
            <w:webHidden/>
          </w:rPr>
        </w:r>
        <w:r w:rsidR="002C0670" w:rsidRPr="00B423E0">
          <w:rPr>
            <w:webHidden/>
          </w:rPr>
          <w:fldChar w:fldCharType="separate"/>
        </w:r>
        <w:r w:rsidR="002C0670" w:rsidRPr="00B423E0">
          <w:rPr>
            <w:webHidden/>
          </w:rPr>
          <w:t>i</w:t>
        </w:r>
        <w:r w:rsidR="002C0670" w:rsidRPr="00B423E0">
          <w:rPr>
            <w:webHidden/>
          </w:rPr>
          <w:fldChar w:fldCharType="end"/>
        </w:r>
      </w:hyperlink>
    </w:p>
    <w:p w:rsidR="002C0670" w:rsidRPr="00B423E0" w:rsidRDefault="006A157C">
      <w:pPr>
        <w:pStyle w:val="TM1"/>
        <w:rPr>
          <w:rFonts w:eastAsiaTheme="minorEastAsia"/>
          <w:b w:val="0"/>
          <w:sz w:val="22"/>
          <w:szCs w:val="22"/>
          <w:lang w:eastAsia="fr-FR"/>
        </w:rPr>
      </w:pPr>
      <w:hyperlink w:anchor="_Toc34730686" w:history="1">
        <w:r w:rsidR="002C0670" w:rsidRPr="00B423E0">
          <w:rPr>
            <w:rStyle w:val="Lienhypertexte"/>
          </w:rPr>
          <w:t>Liste des tableaux</w:t>
        </w:r>
        <w:r w:rsidR="002C0670" w:rsidRPr="00B423E0">
          <w:rPr>
            <w:webHidden/>
          </w:rPr>
          <w:tab/>
        </w:r>
        <w:r w:rsidR="002C0670" w:rsidRPr="00B423E0">
          <w:rPr>
            <w:webHidden/>
          </w:rPr>
          <w:fldChar w:fldCharType="begin"/>
        </w:r>
        <w:r w:rsidR="002C0670" w:rsidRPr="00B423E0">
          <w:rPr>
            <w:webHidden/>
          </w:rPr>
          <w:instrText xml:space="preserve"> PAGEREF _Toc34730686 \h </w:instrText>
        </w:r>
        <w:r w:rsidR="002C0670" w:rsidRPr="00B423E0">
          <w:rPr>
            <w:webHidden/>
          </w:rPr>
        </w:r>
        <w:r w:rsidR="002C0670" w:rsidRPr="00B423E0">
          <w:rPr>
            <w:webHidden/>
          </w:rPr>
          <w:fldChar w:fldCharType="separate"/>
        </w:r>
        <w:r w:rsidR="002C0670" w:rsidRPr="00B423E0">
          <w:rPr>
            <w:webHidden/>
          </w:rPr>
          <w:t>i</w:t>
        </w:r>
        <w:r w:rsidR="002C0670" w:rsidRPr="00B423E0">
          <w:rPr>
            <w:webHidden/>
          </w:rPr>
          <w:fldChar w:fldCharType="end"/>
        </w:r>
      </w:hyperlink>
    </w:p>
    <w:p w:rsidR="002C0670" w:rsidRPr="00B423E0" w:rsidRDefault="006A157C">
      <w:pPr>
        <w:pStyle w:val="TM1"/>
        <w:rPr>
          <w:rFonts w:eastAsiaTheme="minorEastAsia"/>
          <w:b w:val="0"/>
          <w:sz w:val="22"/>
          <w:szCs w:val="22"/>
          <w:lang w:eastAsia="fr-FR"/>
        </w:rPr>
      </w:pPr>
      <w:hyperlink w:anchor="_Toc34730687" w:history="1">
        <w:r w:rsidR="002C0670" w:rsidRPr="00B423E0">
          <w:rPr>
            <w:rStyle w:val="Lienhypertexte"/>
          </w:rPr>
          <w:t>Liste des figures</w:t>
        </w:r>
        <w:r w:rsidR="002C0670" w:rsidRPr="00B423E0">
          <w:rPr>
            <w:webHidden/>
          </w:rPr>
          <w:tab/>
        </w:r>
        <w:r w:rsidR="002C0670" w:rsidRPr="00B423E0">
          <w:rPr>
            <w:webHidden/>
          </w:rPr>
          <w:fldChar w:fldCharType="begin"/>
        </w:r>
        <w:r w:rsidR="002C0670" w:rsidRPr="00B423E0">
          <w:rPr>
            <w:webHidden/>
          </w:rPr>
          <w:instrText xml:space="preserve"> PAGEREF _Toc34730687 \h </w:instrText>
        </w:r>
        <w:r w:rsidR="002C0670" w:rsidRPr="00B423E0">
          <w:rPr>
            <w:webHidden/>
          </w:rPr>
        </w:r>
        <w:r w:rsidR="002C0670" w:rsidRPr="00B423E0">
          <w:rPr>
            <w:webHidden/>
          </w:rPr>
          <w:fldChar w:fldCharType="separate"/>
        </w:r>
        <w:r w:rsidR="002C0670" w:rsidRPr="00B423E0">
          <w:rPr>
            <w:webHidden/>
          </w:rPr>
          <w:t>ii</w:t>
        </w:r>
        <w:r w:rsidR="002C0670" w:rsidRPr="00B423E0">
          <w:rPr>
            <w:webHidden/>
          </w:rPr>
          <w:fldChar w:fldCharType="end"/>
        </w:r>
      </w:hyperlink>
    </w:p>
    <w:p w:rsidR="002C0670" w:rsidRPr="00B423E0" w:rsidRDefault="006A157C">
      <w:pPr>
        <w:pStyle w:val="TM1"/>
        <w:rPr>
          <w:rFonts w:eastAsiaTheme="minorEastAsia"/>
          <w:b w:val="0"/>
          <w:sz w:val="22"/>
          <w:szCs w:val="22"/>
          <w:lang w:eastAsia="fr-FR"/>
        </w:rPr>
      </w:pPr>
      <w:hyperlink w:anchor="_Toc34730688" w:history="1">
        <w:r w:rsidR="002C0670" w:rsidRPr="00B423E0">
          <w:rPr>
            <w:rStyle w:val="Lienhypertexte"/>
          </w:rPr>
          <w:t>Sigles et acronymes</w:t>
        </w:r>
        <w:r w:rsidR="002C0670" w:rsidRPr="00B423E0">
          <w:rPr>
            <w:webHidden/>
          </w:rPr>
          <w:tab/>
        </w:r>
        <w:r w:rsidR="002C0670" w:rsidRPr="00B423E0">
          <w:rPr>
            <w:webHidden/>
          </w:rPr>
          <w:fldChar w:fldCharType="begin"/>
        </w:r>
        <w:r w:rsidR="002C0670" w:rsidRPr="00B423E0">
          <w:rPr>
            <w:webHidden/>
          </w:rPr>
          <w:instrText xml:space="preserve"> PAGEREF _Toc34730688 \h </w:instrText>
        </w:r>
        <w:r w:rsidR="002C0670" w:rsidRPr="00B423E0">
          <w:rPr>
            <w:webHidden/>
          </w:rPr>
        </w:r>
        <w:r w:rsidR="002C0670" w:rsidRPr="00B423E0">
          <w:rPr>
            <w:webHidden/>
          </w:rPr>
          <w:fldChar w:fldCharType="separate"/>
        </w:r>
        <w:r w:rsidR="002C0670" w:rsidRPr="00B423E0">
          <w:rPr>
            <w:webHidden/>
          </w:rPr>
          <w:t>iii</w:t>
        </w:r>
        <w:r w:rsidR="002C0670" w:rsidRPr="00B423E0">
          <w:rPr>
            <w:webHidden/>
          </w:rPr>
          <w:fldChar w:fldCharType="end"/>
        </w:r>
      </w:hyperlink>
    </w:p>
    <w:p w:rsidR="002C0670" w:rsidRPr="00B423E0" w:rsidRDefault="006A157C">
      <w:pPr>
        <w:pStyle w:val="TM1"/>
        <w:rPr>
          <w:rFonts w:eastAsiaTheme="minorEastAsia"/>
          <w:b w:val="0"/>
          <w:sz w:val="22"/>
          <w:szCs w:val="22"/>
          <w:lang w:eastAsia="fr-FR"/>
        </w:rPr>
      </w:pPr>
      <w:hyperlink w:anchor="_Toc34730689" w:history="1">
        <w:r w:rsidR="002C0670" w:rsidRPr="00B423E0">
          <w:rPr>
            <w:rStyle w:val="Lienhypertexte"/>
          </w:rPr>
          <w:t>Lexique</w:t>
        </w:r>
        <w:r w:rsidR="002C0670" w:rsidRPr="00B423E0">
          <w:rPr>
            <w:webHidden/>
          </w:rPr>
          <w:tab/>
        </w:r>
        <w:r w:rsidR="002C0670" w:rsidRPr="00B423E0">
          <w:rPr>
            <w:webHidden/>
          </w:rPr>
          <w:fldChar w:fldCharType="begin"/>
        </w:r>
        <w:r w:rsidR="002C0670" w:rsidRPr="00B423E0">
          <w:rPr>
            <w:webHidden/>
          </w:rPr>
          <w:instrText xml:space="preserve"> PAGEREF _Toc34730689 \h </w:instrText>
        </w:r>
        <w:r w:rsidR="002C0670" w:rsidRPr="00B423E0">
          <w:rPr>
            <w:webHidden/>
          </w:rPr>
        </w:r>
        <w:r w:rsidR="002C0670" w:rsidRPr="00B423E0">
          <w:rPr>
            <w:webHidden/>
          </w:rPr>
          <w:fldChar w:fldCharType="separate"/>
        </w:r>
        <w:r w:rsidR="002C0670" w:rsidRPr="00B423E0">
          <w:rPr>
            <w:webHidden/>
          </w:rPr>
          <w:t>iv</w:t>
        </w:r>
        <w:r w:rsidR="002C0670" w:rsidRPr="00B423E0">
          <w:rPr>
            <w:webHidden/>
          </w:rPr>
          <w:fldChar w:fldCharType="end"/>
        </w:r>
      </w:hyperlink>
    </w:p>
    <w:p w:rsidR="002C0670" w:rsidRPr="00B423E0" w:rsidRDefault="006A157C">
      <w:pPr>
        <w:pStyle w:val="TM1"/>
        <w:rPr>
          <w:rFonts w:eastAsiaTheme="minorEastAsia"/>
          <w:b w:val="0"/>
          <w:sz w:val="22"/>
          <w:szCs w:val="22"/>
          <w:lang w:eastAsia="fr-FR"/>
        </w:rPr>
      </w:pPr>
      <w:hyperlink w:anchor="_Toc34730690" w:history="1">
        <w:r w:rsidR="002C0670" w:rsidRPr="00B423E0">
          <w:rPr>
            <w:rStyle w:val="Lienhypertexte"/>
          </w:rPr>
          <w:t>Sommaire</w:t>
        </w:r>
        <w:r w:rsidR="002C0670" w:rsidRPr="00B423E0">
          <w:rPr>
            <w:webHidden/>
          </w:rPr>
          <w:tab/>
        </w:r>
        <w:r w:rsidR="002C0670" w:rsidRPr="00B423E0">
          <w:rPr>
            <w:webHidden/>
          </w:rPr>
          <w:fldChar w:fldCharType="begin"/>
        </w:r>
        <w:r w:rsidR="002C0670" w:rsidRPr="00B423E0">
          <w:rPr>
            <w:webHidden/>
          </w:rPr>
          <w:instrText xml:space="preserve"> PAGEREF _Toc34730690 \h </w:instrText>
        </w:r>
        <w:r w:rsidR="002C0670" w:rsidRPr="00B423E0">
          <w:rPr>
            <w:webHidden/>
          </w:rPr>
        </w:r>
        <w:r w:rsidR="002C0670" w:rsidRPr="00B423E0">
          <w:rPr>
            <w:webHidden/>
          </w:rPr>
          <w:fldChar w:fldCharType="separate"/>
        </w:r>
        <w:r w:rsidR="002C0670" w:rsidRPr="00B423E0">
          <w:rPr>
            <w:webHidden/>
          </w:rPr>
          <w:t>v</w:t>
        </w:r>
        <w:r w:rsidR="002C0670" w:rsidRPr="00B423E0">
          <w:rPr>
            <w:webHidden/>
          </w:rPr>
          <w:fldChar w:fldCharType="end"/>
        </w:r>
      </w:hyperlink>
    </w:p>
    <w:p w:rsidR="002C0670" w:rsidRPr="00B423E0" w:rsidRDefault="006A157C">
      <w:pPr>
        <w:pStyle w:val="TM1"/>
        <w:rPr>
          <w:rFonts w:eastAsiaTheme="minorEastAsia"/>
          <w:b w:val="0"/>
          <w:sz w:val="22"/>
          <w:szCs w:val="22"/>
          <w:lang w:eastAsia="fr-FR"/>
        </w:rPr>
      </w:pPr>
      <w:hyperlink w:anchor="_Toc34730691" w:history="1">
        <w:r w:rsidR="002C0670" w:rsidRPr="00B423E0">
          <w:rPr>
            <w:rStyle w:val="Lienhypertexte"/>
          </w:rPr>
          <w:t>Introduction</w:t>
        </w:r>
        <w:r w:rsidR="002C0670" w:rsidRPr="00B423E0">
          <w:rPr>
            <w:webHidden/>
          </w:rPr>
          <w:tab/>
        </w:r>
        <w:r w:rsidR="002C0670" w:rsidRPr="00B423E0">
          <w:rPr>
            <w:webHidden/>
          </w:rPr>
          <w:fldChar w:fldCharType="begin"/>
        </w:r>
        <w:r w:rsidR="002C0670" w:rsidRPr="00B423E0">
          <w:rPr>
            <w:webHidden/>
          </w:rPr>
          <w:instrText xml:space="preserve"> PAGEREF _Toc34730691 \h </w:instrText>
        </w:r>
        <w:r w:rsidR="002C0670" w:rsidRPr="00B423E0">
          <w:rPr>
            <w:webHidden/>
          </w:rPr>
        </w:r>
        <w:r w:rsidR="002C0670" w:rsidRPr="00B423E0">
          <w:rPr>
            <w:webHidden/>
          </w:rPr>
          <w:fldChar w:fldCharType="separate"/>
        </w:r>
        <w:r w:rsidR="002C0670" w:rsidRPr="00B423E0">
          <w:rPr>
            <w:webHidden/>
          </w:rPr>
          <w:t>6</w:t>
        </w:r>
        <w:r w:rsidR="002C0670" w:rsidRPr="00B423E0">
          <w:rPr>
            <w:webHidden/>
          </w:rPr>
          <w:fldChar w:fldCharType="end"/>
        </w:r>
      </w:hyperlink>
    </w:p>
    <w:p w:rsidR="002C0670" w:rsidRPr="00B423E0" w:rsidRDefault="006A157C">
      <w:pPr>
        <w:pStyle w:val="TM1"/>
        <w:tabs>
          <w:tab w:val="left" w:pos="440"/>
        </w:tabs>
        <w:rPr>
          <w:rFonts w:eastAsiaTheme="minorEastAsia"/>
          <w:b w:val="0"/>
          <w:sz w:val="22"/>
          <w:szCs w:val="22"/>
          <w:lang w:eastAsia="fr-FR"/>
        </w:rPr>
      </w:pPr>
      <w:hyperlink w:anchor="_Toc34730692" w:history="1">
        <w:r w:rsidR="002C0670" w:rsidRPr="00B423E0">
          <w:rPr>
            <w:rStyle w:val="Lienhypertexte"/>
          </w:rPr>
          <w:t>I.</w:t>
        </w:r>
        <w:r w:rsidR="002C0670" w:rsidRPr="00B423E0">
          <w:rPr>
            <w:rFonts w:eastAsiaTheme="minorEastAsia"/>
            <w:b w:val="0"/>
            <w:sz w:val="22"/>
            <w:szCs w:val="22"/>
            <w:lang w:eastAsia="fr-FR"/>
          </w:rPr>
          <w:tab/>
        </w:r>
        <w:r w:rsidR="002C0670" w:rsidRPr="00B423E0">
          <w:rPr>
            <w:rStyle w:val="Lienhypertexte"/>
          </w:rPr>
          <w:t>Structure du commerce en gros</w:t>
        </w:r>
        <w:r w:rsidR="002C0670" w:rsidRPr="00B423E0">
          <w:rPr>
            <w:webHidden/>
          </w:rPr>
          <w:tab/>
        </w:r>
        <w:r w:rsidR="002C0670" w:rsidRPr="00B423E0">
          <w:rPr>
            <w:webHidden/>
          </w:rPr>
          <w:fldChar w:fldCharType="begin"/>
        </w:r>
        <w:r w:rsidR="002C0670" w:rsidRPr="00B423E0">
          <w:rPr>
            <w:webHidden/>
          </w:rPr>
          <w:instrText xml:space="preserve"> PAGEREF _Toc34730692 \h </w:instrText>
        </w:r>
        <w:r w:rsidR="002C0670" w:rsidRPr="00B423E0">
          <w:rPr>
            <w:webHidden/>
          </w:rPr>
        </w:r>
        <w:r w:rsidR="002C0670" w:rsidRPr="00B423E0">
          <w:rPr>
            <w:webHidden/>
          </w:rPr>
          <w:fldChar w:fldCharType="separate"/>
        </w:r>
        <w:r w:rsidR="002C0670" w:rsidRPr="00B423E0">
          <w:rPr>
            <w:webHidden/>
          </w:rPr>
          <w:t>9</w:t>
        </w:r>
        <w:r w:rsidR="002C0670" w:rsidRPr="00B423E0">
          <w:rPr>
            <w:webHidden/>
          </w:rPr>
          <w:fldChar w:fldCharType="end"/>
        </w:r>
      </w:hyperlink>
    </w:p>
    <w:p w:rsidR="002C0670" w:rsidRPr="00B423E0" w:rsidRDefault="006A157C">
      <w:pPr>
        <w:pStyle w:val="TM1"/>
        <w:tabs>
          <w:tab w:val="left" w:pos="660"/>
        </w:tabs>
        <w:rPr>
          <w:rFonts w:eastAsiaTheme="minorEastAsia"/>
          <w:b w:val="0"/>
          <w:sz w:val="22"/>
          <w:szCs w:val="22"/>
          <w:lang w:eastAsia="fr-FR"/>
        </w:rPr>
      </w:pPr>
      <w:hyperlink w:anchor="_Toc34730693" w:history="1">
        <w:r w:rsidR="002C0670" w:rsidRPr="00B423E0">
          <w:rPr>
            <w:rStyle w:val="Lienhypertexte"/>
          </w:rPr>
          <w:t>II.</w:t>
        </w:r>
        <w:r w:rsidR="002C0670" w:rsidRPr="00B423E0">
          <w:rPr>
            <w:rFonts w:eastAsiaTheme="minorEastAsia"/>
            <w:b w:val="0"/>
            <w:sz w:val="22"/>
            <w:szCs w:val="22"/>
            <w:lang w:eastAsia="fr-FR"/>
          </w:rPr>
          <w:tab/>
        </w:r>
        <w:r w:rsidR="002C0670" w:rsidRPr="00B423E0">
          <w:rPr>
            <w:rStyle w:val="Lienhypertexte"/>
          </w:rPr>
          <w:t>Comportement du commerce en gros</w:t>
        </w:r>
        <w:r w:rsidR="002C0670" w:rsidRPr="00B423E0">
          <w:rPr>
            <w:webHidden/>
          </w:rPr>
          <w:tab/>
        </w:r>
        <w:r w:rsidR="002C0670" w:rsidRPr="00B423E0">
          <w:rPr>
            <w:webHidden/>
          </w:rPr>
          <w:fldChar w:fldCharType="begin"/>
        </w:r>
        <w:r w:rsidR="002C0670" w:rsidRPr="00B423E0">
          <w:rPr>
            <w:webHidden/>
          </w:rPr>
          <w:instrText xml:space="preserve"> PAGEREF _Toc34730693 \h </w:instrText>
        </w:r>
        <w:r w:rsidR="002C0670" w:rsidRPr="00B423E0">
          <w:rPr>
            <w:webHidden/>
          </w:rPr>
        </w:r>
        <w:r w:rsidR="002C0670" w:rsidRPr="00B423E0">
          <w:rPr>
            <w:webHidden/>
          </w:rPr>
          <w:fldChar w:fldCharType="separate"/>
        </w:r>
        <w:r w:rsidR="002C0670" w:rsidRPr="00B423E0">
          <w:rPr>
            <w:webHidden/>
          </w:rPr>
          <w:t>16</w:t>
        </w:r>
        <w:r w:rsidR="002C0670" w:rsidRPr="00B423E0">
          <w:rPr>
            <w:webHidden/>
          </w:rPr>
          <w:fldChar w:fldCharType="end"/>
        </w:r>
      </w:hyperlink>
    </w:p>
    <w:p w:rsidR="002C0670" w:rsidRPr="00B423E0" w:rsidRDefault="006A157C">
      <w:pPr>
        <w:pStyle w:val="TM1"/>
        <w:tabs>
          <w:tab w:val="left" w:pos="660"/>
        </w:tabs>
        <w:rPr>
          <w:rFonts w:eastAsiaTheme="minorEastAsia"/>
          <w:b w:val="0"/>
          <w:sz w:val="22"/>
          <w:szCs w:val="22"/>
          <w:lang w:eastAsia="fr-FR"/>
        </w:rPr>
      </w:pPr>
      <w:hyperlink w:anchor="_Toc34730694" w:history="1">
        <w:r w:rsidR="002C0670" w:rsidRPr="00B423E0">
          <w:rPr>
            <w:rStyle w:val="Lienhypertexte"/>
          </w:rPr>
          <w:t>III.</w:t>
        </w:r>
        <w:r w:rsidR="002C0670" w:rsidRPr="00B423E0">
          <w:rPr>
            <w:rFonts w:eastAsiaTheme="minorEastAsia"/>
            <w:b w:val="0"/>
            <w:sz w:val="22"/>
            <w:szCs w:val="22"/>
            <w:lang w:eastAsia="fr-FR"/>
          </w:rPr>
          <w:tab/>
        </w:r>
        <w:r w:rsidR="002C0670" w:rsidRPr="00B423E0">
          <w:rPr>
            <w:rStyle w:val="Lienhypertexte"/>
          </w:rPr>
          <w:t>Performance du commerce gros</w:t>
        </w:r>
        <w:r w:rsidR="002C0670" w:rsidRPr="00B423E0">
          <w:rPr>
            <w:webHidden/>
          </w:rPr>
          <w:tab/>
        </w:r>
        <w:r w:rsidR="002C0670" w:rsidRPr="00B423E0">
          <w:rPr>
            <w:webHidden/>
          </w:rPr>
          <w:fldChar w:fldCharType="begin"/>
        </w:r>
        <w:r w:rsidR="002C0670" w:rsidRPr="00B423E0">
          <w:rPr>
            <w:webHidden/>
          </w:rPr>
          <w:instrText xml:space="preserve"> PAGEREF _Toc34730694 \h </w:instrText>
        </w:r>
        <w:r w:rsidR="002C0670" w:rsidRPr="00B423E0">
          <w:rPr>
            <w:webHidden/>
          </w:rPr>
        </w:r>
        <w:r w:rsidR="002C0670" w:rsidRPr="00B423E0">
          <w:rPr>
            <w:webHidden/>
          </w:rPr>
          <w:fldChar w:fldCharType="separate"/>
        </w:r>
        <w:r w:rsidR="002C0670" w:rsidRPr="00B423E0">
          <w:rPr>
            <w:webHidden/>
          </w:rPr>
          <w:t>26</w:t>
        </w:r>
        <w:r w:rsidR="002C0670" w:rsidRPr="00B423E0">
          <w:rPr>
            <w:webHidden/>
          </w:rPr>
          <w:fldChar w:fldCharType="end"/>
        </w:r>
      </w:hyperlink>
    </w:p>
    <w:p w:rsidR="002C0670" w:rsidRPr="00B423E0" w:rsidRDefault="006A157C">
      <w:pPr>
        <w:pStyle w:val="TM1"/>
        <w:rPr>
          <w:rFonts w:eastAsiaTheme="minorEastAsia"/>
          <w:b w:val="0"/>
          <w:sz w:val="22"/>
          <w:szCs w:val="22"/>
          <w:lang w:eastAsia="fr-FR"/>
        </w:rPr>
      </w:pPr>
      <w:hyperlink w:anchor="_Toc34730695" w:history="1">
        <w:r w:rsidR="002C0670" w:rsidRPr="00B423E0">
          <w:rPr>
            <w:rStyle w:val="Lienhypertexte"/>
          </w:rPr>
          <w:t>Conclusion</w:t>
        </w:r>
        <w:r w:rsidR="002C0670" w:rsidRPr="00B423E0">
          <w:rPr>
            <w:webHidden/>
          </w:rPr>
          <w:tab/>
        </w:r>
        <w:r w:rsidR="002C0670" w:rsidRPr="00B423E0">
          <w:rPr>
            <w:webHidden/>
          </w:rPr>
          <w:fldChar w:fldCharType="begin"/>
        </w:r>
        <w:r w:rsidR="002C0670" w:rsidRPr="00B423E0">
          <w:rPr>
            <w:webHidden/>
          </w:rPr>
          <w:instrText xml:space="preserve"> PAGEREF _Toc34730695 \h </w:instrText>
        </w:r>
        <w:r w:rsidR="002C0670" w:rsidRPr="00B423E0">
          <w:rPr>
            <w:webHidden/>
          </w:rPr>
        </w:r>
        <w:r w:rsidR="002C0670" w:rsidRPr="00B423E0">
          <w:rPr>
            <w:webHidden/>
          </w:rPr>
          <w:fldChar w:fldCharType="separate"/>
        </w:r>
        <w:r w:rsidR="002C0670" w:rsidRPr="00B423E0">
          <w:rPr>
            <w:webHidden/>
          </w:rPr>
          <w:t>32</w:t>
        </w:r>
        <w:r w:rsidR="002C0670" w:rsidRPr="00B423E0">
          <w:rPr>
            <w:webHidden/>
          </w:rPr>
          <w:fldChar w:fldCharType="end"/>
        </w:r>
      </w:hyperlink>
    </w:p>
    <w:p w:rsidR="00AB1D5F" w:rsidRPr="00B423E0" w:rsidRDefault="00AB1D5F" w:rsidP="00AB1D5F">
      <w:pPr>
        <w:rPr>
          <w:rFonts w:ascii="Times New Roman" w:hAnsi="Times New Roman" w:cs="Times New Roman"/>
        </w:rPr>
        <w:sectPr w:rsidR="00AB1D5F" w:rsidRPr="00B423E0" w:rsidSect="00AB1D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lowerRoman"/>
          <w:cols w:space="708"/>
          <w:docGrid w:linePitch="360"/>
        </w:sectPr>
      </w:pPr>
      <w:r w:rsidRPr="00B423E0">
        <w:rPr>
          <w:rFonts w:ascii="Times New Roman" w:hAnsi="Times New Roman" w:cs="Times New Roman"/>
        </w:rPr>
        <w:fldChar w:fldCharType="end"/>
      </w:r>
    </w:p>
    <w:p w:rsidR="00AB1D5F" w:rsidRPr="00B423E0" w:rsidRDefault="00AB1D5F" w:rsidP="00AB1D5F">
      <w:pPr>
        <w:pStyle w:val="Titre1"/>
        <w:numPr>
          <w:ilvl w:val="0"/>
          <w:numId w:val="0"/>
        </w:numPr>
        <w:rPr>
          <w:rFonts w:cs="Times New Roman"/>
        </w:rPr>
      </w:pPr>
      <w:bookmarkStart w:id="9" w:name="_Toc34730691"/>
      <w:r w:rsidRPr="00B423E0">
        <w:rPr>
          <w:rFonts w:cs="Times New Roman"/>
        </w:rPr>
        <w:lastRenderedPageBreak/>
        <w:t>Introduction</w:t>
      </w:r>
      <w:bookmarkEnd w:id="9"/>
    </w:p>
    <w:p w:rsidR="00AB1D5F" w:rsidRPr="00C91C0F" w:rsidRDefault="00AB1D5F" w:rsidP="00AB1D5F">
      <w:pPr>
        <w:pStyle w:val="RapportPAPA0"/>
        <w:rPr>
          <w:sz w:val="22"/>
        </w:rPr>
      </w:pPr>
      <w:r w:rsidRPr="00C91C0F">
        <w:rPr>
          <w:sz w:val="22"/>
        </w:rPr>
        <w:t>L’industrie agroalimentaire et les chaines de valeur agricoles ont connu des mutations profondes au cours de leurs évolutio</w:t>
      </w:r>
      <w:r w:rsidR="00A057E9" w:rsidRPr="00C91C0F">
        <w:rPr>
          <w:sz w:val="22"/>
        </w:rPr>
        <w:t>ns</w:t>
      </w:r>
      <w:r w:rsidR="0055017B" w:rsidRPr="00C91C0F">
        <w:rPr>
          <w:sz w:val="22"/>
        </w:rPr>
        <w:t>. Elles ont d’abord été caractérisées</w:t>
      </w:r>
      <w:r w:rsidR="00A057E9" w:rsidRPr="00C91C0F">
        <w:rPr>
          <w:sz w:val="22"/>
        </w:rPr>
        <w:t xml:space="preserve"> par un forte intervention d</w:t>
      </w:r>
      <w:r w:rsidR="0055017B" w:rsidRPr="00C91C0F">
        <w:rPr>
          <w:sz w:val="22"/>
        </w:rPr>
        <w:t>u</w:t>
      </w:r>
      <w:r w:rsidR="00A057E9" w:rsidRPr="00C91C0F">
        <w:rPr>
          <w:sz w:val="22"/>
        </w:rPr>
        <w:t xml:space="preserve"> secteur public au niveau de tous les maillons des chaines de valeur</w:t>
      </w:r>
      <w:r w:rsidR="004B1ABD" w:rsidRPr="00C91C0F">
        <w:rPr>
          <w:sz w:val="22"/>
        </w:rPr>
        <w:t xml:space="preserve"> et plus tard par </w:t>
      </w:r>
      <w:r w:rsidR="002D1D77" w:rsidRPr="00C91C0F">
        <w:rPr>
          <w:sz w:val="22"/>
        </w:rPr>
        <w:t>des ajustements structurels</w:t>
      </w:r>
      <w:r w:rsidR="004B1ABD" w:rsidRPr="00C91C0F">
        <w:rPr>
          <w:sz w:val="22"/>
        </w:rPr>
        <w:t xml:space="preserve"> et </w:t>
      </w:r>
      <w:r w:rsidR="0055017B" w:rsidRPr="00C91C0F">
        <w:rPr>
          <w:sz w:val="22"/>
        </w:rPr>
        <w:t>une p</w:t>
      </w:r>
      <w:r w:rsidR="00A057E9" w:rsidRPr="00C91C0F">
        <w:rPr>
          <w:sz w:val="22"/>
        </w:rPr>
        <w:t>lus grande implication du secteur privé dans l’économie</w:t>
      </w:r>
      <w:r w:rsidRPr="00C91C0F">
        <w:rPr>
          <w:sz w:val="22"/>
        </w:rPr>
        <w:t xml:space="preserve"> (</w:t>
      </w:r>
      <w:proofErr w:type="spellStart"/>
      <w:r w:rsidRPr="00C91C0F">
        <w:rPr>
          <w:sz w:val="22"/>
        </w:rPr>
        <w:t>Reardon</w:t>
      </w:r>
      <w:proofErr w:type="spellEnd"/>
      <w:r w:rsidRPr="00C91C0F">
        <w:rPr>
          <w:sz w:val="22"/>
        </w:rPr>
        <w:t xml:space="preserve"> et </w:t>
      </w:r>
      <w:proofErr w:type="gramStart"/>
      <w:r w:rsidRPr="00C91C0F">
        <w:rPr>
          <w:sz w:val="22"/>
        </w:rPr>
        <w:t>al.,</w:t>
      </w:r>
      <w:proofErr w:type="gramEnd"/>
      <w:r w:rsidRPr="00C91C0F">
        <w:rPr>
          <w:sz w:val="22"/>
        </w:rPr>
        <w:t xml:space="preserve"> 2009). Les changements intervenus ont trait à la consolidation, la multinationalisation, la spécialisation et la différenciation des acteurs des chaines de valeurs.</w:t>
      </w:r>
      <w:r w:rsidR="0055017B" w:rsidRPr="00C91C0F">
        <w:rPr>
          <w:sz w:val="22"/>
        </w:rPr>
        <w:t xml:space="preserve"> Ainsi, </w:t>
      </w:r>
      <w:r w:rsidRPr="00C91C0F">
        <w:rPr>
          <w:sz w:val="22"/>
        </w:rPr>
        <w:t xml:space="preserve">de nouvelles approches organisationnelles et institutionnelles </w:t>
      </w:r>
      <w:r w:rsidR="0055017B" w:rsidRPr="00C91C0F">
        <w:rPr>
          <w:sz w:val="22"/>
        </w:rPr>
        <w:t xml:space="preserve">ont vu le jour, </w:t>
      </w:r>
      <w:r w:rsidRPr="00C91C0F">
        <w:rPr>
          <w:sz w:val="22"/>
        </w:rPr>
        <w:t>à travers le développement de l’intégration verticale (contractualisation ou une meilleure intégration au marché) et la prise en compte de standards de qualité.</w:t>
      </w:r>
    </w:p>
    <w:p w:rsidR="00AB1D5F" w:rsidRPr="00C91C0F" w:rsidRDefault="004B1ABD" w:rsidP="002A752C">
      <w:pPr>
        <w:spacing w:after="0" w:line="360" w:lineRule="auto"/>
        <w:jc w:val="both"/>
        <w:rPr>
          <w:rFonts w:ascii="Times New Roman" w:hAnsi="Times New Roman" w:cs="Times New Roman"/>
          <w:szCs w:val="24"/>
        </w:rPr>
      </w:pPr>
      <w:r w:rsidRPr="00C91C0F">
        <w:rPr>
          <w:rFonts w:ascii="Times New Roman" w:hAnsi="Times New Roman" w:cs="Times New Roman"/>
          <w:szCs w:val="24"/>
        </w:rPr>
        <w:t xml:space="preserve">Au Sénégal, </w:t>
      </w:r>
      <w:r w:rsidR="00976A8A" w:rsidRPr="00C91C0F">
        <w:rPr>
          <w:rFonts w:ascii="Times New Roman" w:hAnsi="Times New Roman" w:cs="Times New Roman"/>
          <w:szCs w:val="24"/>
        </w:rPr>
        <w:t xml:space="preserve">des changements </w:t>
      </w:r>
      <w:r w:rsidR="008703F2" w:rsidRPr="00C91C0F">
        <w:rPr>
          <w:rFonts w:ascii="Times New Roman" w:hAnsi="Times New Roman" w:cs="Times New Roman"/>
          <w:szCs w:val="24"/>
        </w:rPr>
        <w:t xml:space="preserve">structurels, organisationnels et </w:t>
      </w:r>
      <w:r w:rsidR="00976A8A" w:rsidRPr="00C91C0F">
        <w:rPr>
          <w:rFonts w:ascii="Times New Roman" w:hAnsi="Times New Roman" w:cs="Times New Roman"/>
          <w:szCs w:val="24"/>
        </w:rPr>
        <w:t>dans la consommation des ménages</w:t>
      </w:r>
      <w:r w:rsidR="002A752C" w:rsidRPr="00C91C0F">
        <w:rPr>
          <w:rFonts w:ascii="Times New Roman" w:hAnsi="Times New Roman" w:cs="Times New Roman"/>
          <w:szCs w:val="24"/>
        </w:rPr>
        <w:t xml:space="preserve"> </w:t>
      </w:r>
      <w:proofErr w:type="gramStart"/>
      <w:r w:rsidR="002A752C" w:rsidRPr="00C91C0F">
        <w:rPr>
          <w:rFonts w:ascii="Times New Roman" w:hAnsi="Times New Roman" w:cs="Times New Roman"/>
          <w:szCs w:val="24"/>
        </w:rPr>
        <w:t>ont</w:t>
      </w:r>
      <w:proofErr w:type="gramEnd"/>
      <w:r w:rsidR="002A752C" w:rsidRPr="00C91C0F">
        <w:rPr>
          <w:rFonts w:ascii="Times New Roman" w:hAnsi="Times New Roman" w:cs="Times New Roman"/>
          <w:szCs w:val="24"/>
        </w:rPr>
        <w:t xml:space="preserve"> été notés</w:t>
      </w:r>
      <w:r w:rsidRPr="00C91C0F">
        <w:rPr>
          <w:rFonts w:ascii="Times New Roman" w:hAnsi="Times New Roman" w:cs="Times New Roman"/>
          <w:szCs w:val="24"/>
        </w:rPr>
        <w:t xml:space="preserve"> dans les chaines de valeur des céréales sèches</w:t>
      </w:r>
      <w:r w:rsidR="00B423E0" w:rsidRPr="00C91C0F">
        <w:rPr>
          <w:rFonts w:ascii="Times New Roman" w:hAnsi="Times New Roman" w:cs="Times New Roman"/>
          <w:szCs w:val="24"/>
        </w:rPr>
        <w:t xml:space="preserve">, qui peuvent </w:t>
      </w:r>
      <w:r w:rsidR="002A752C" w:rsidRPr="00C91C0F">
        <w:rPr>
          <w:rFonts w:ascii="Times New Roman" w:hAnsi="Times New Roman" w:cs="Times New Roman"/>
          <w:szCs w:val="24"/>
        </w:rPr>
        <w:t>avoir un impact certain sur l’</w:t>
      </w:r>
      <w:r w:rsidR="00FD2543" w:rsidRPr="00C91C0F">
        <w:rPr>
          <w:rFonts w:ascii="Times New Roman" w:hAnsi="Times New Roman" w:cs="Times New Roman"/>
          <w:szCs w:val="24"/>
        </w:rPr>
        <w:t>intensification</w:t>
      </w:r>
      <w:r w:rsidR="002A752C" w:rsidRPr="00C91C0F">
        <w:rPr>
          <w:rFonts w:ascii="Times New Roman" w:hAnsi="Times New Roman" w:cs="Times New Roman"/>
          <w:szCs w:val="24"/>
        </w:rPr>
        <w:t xml:space="preserve"> </w:t>
      </w:r>
      <w:r w:rsidR="00FD2543" w:rsidRPr="00C91C0F">
        <w:rPr>
          <w:rFonts w:ascii="Times New Roman" w:hAnsi="Times New Roman" w:cs="Times New Roman"/>
          <w:szCs w:val="24"/>
        </w:rPr>
        <w:t>d</w:t>
      </w:r>
      <w:r w:rsidR="002A752C" w:rsidRPr="00C91C0F">
        <w:rPr>
          <w:rFonts w:ascii="Times New Roman" w:hAnsi="Times New Roman" w:cs="Times New Roman"/>
          <w:szCs w:val="24"/>
        </w:rPr>
        <w:t>e</w:t>
      </w:r>
      <w:r w:rsidR="00FD2543" w:rsidRPr="00C91C0F">
        <w:rPr>
          <w:rFonts w:ascii="Times New Roman" w:hAnsi="Times New Roman" w:cs="Times New Roman"/>
          <w:szCs w:val="24"/>
        </w:rPr>
        <w:t xml:space="preserve"> </w:t>
      </w:r>
      <w:r w:rsidR="002A752C" w:rsidRPr="00C91C0F">
        <w:rPr>
          <w:rFonts w:ascii="Times New Roman" w:hAnsi="Times New Roman" w:cs="Times New Roman"/>
          <w:szCs w:val="24"/>
        </w:rPr>
        <w:t>la production agricole.</w:t>
      </w:r>
      <w:r w:rsidR="008703F2" w:rsidRPr="00C91C0F">
        <w:rPr>
          <w:rFonts w:ascii="Times New Roman" w:hAnsi="Times New Roman" w:cs="Times New Roman"/>
          <w:szCs w:val="24"/>
        </w:rPr>
        <w:t xml:space="preserve"> </w:t>
      </w:r>
      <w:r w:rsidRPr="00C91C0F">
        <w:rPr>
          <w:rFonts w:ascii="Times New Roman" w:hAnsi="Times New Roman" w:cs="Times New Roman"/>
          <w:szCs w:val="24"/>
        </w:rPr>
        <w:t>Ces céréales</w:t>
      </w:r>
      <w:r w:rsidR="00976A8A" w:rsidRPr="00C91C0F">
        <w:rPr>
          <w:rFonts w:ascii="Times New Roman" w:hAnsi="Times New Roman" w:cs="Times New Roman"/>
          <w:szCs w:val="24"/>
        </w:rPr>
        <w:t xml:space="preserve">, notamment le mil, le </w:t>
      </w:r>
      <w:r w:rsidR="008703F2" w:rsidRPr="00C91C0F">
        <w:rPr>
          <w:rFonts w:ascii="Times New Roman" w:hAnsi="Times New Roman" w:cs="Times New Roman"/>
          <w:szCs w:val="24"/>
        </w:rPr>
        <w:t>maïs</w:t>
      </w:r>
      <w:r w:rsidR="00976A8A" w:rsidRPr="00C91C0F">
        <w:rPr>
          <w:rFonts w:ascii="Times New Roman" w:hAnsi="Times New Roman" w:cs="Times New Roman"/>
          <w:szCs w:val="24"/>
        </w:rPr>
        <w:t xml:space="preserve">, le riz, le </w:t>
      </w:r>
      <w:r w:rsidR="008703F2" w:rsidRPr="00C91C0F">
        <w:rPr>
          <w:rFonts w:ascii="Times New Roman" w:hAnsi="Times New Roman" w:cs="Times New Roman"/>
          <w:szCs w:val="24"/>
        </w:rPr>
        <w:t>sorgho</w:t>
      </w:r>
      <w:r w:rsidR="00976A8A" w:rsidRPr="00C91C0F">
        <w:rPr>
          <w:rFonts w:ascii="Times New Roman" w:hAnsi="Times New Roman" w:cs="Times New Roman"/>
          <w:szCs w:val="24"/>
        </w:rPr>
        <w:t xml:space="preserve"> et le fonio constitue</w:t>
      </w:r>
      <w:r w:rsidR="00AB1D5F" w:rsidRPr="00C91C0F">
        <w:rPr>
          <w:rFonts w:ascii="Times New Roman" w:hAnsi="Times New Roman" w:cs="Times New Roman"/>
          <w:szCs w:val="24"/>
        </w:rPr>
        <w:t xml:space="preserve">nt les produits alimentaires de base au Sénégal. Le mil et le sorgho, plantes vivrières par excellence, sont la base de la nourriture quotidienne des populations rurales. Le mil, céréale dominante dans une large partie des zones rurales, occupe une place importante dans les stratégies de sécurité alimentaire (ISRA/BAME, 2014). </w:t>
      </w:r>
      <w:r w:rsidR="002A752C" w:rsidRPr="00C91C0F">
        <w:rPr>
          <w:rFonts w:ascii="Times New Roman" w:hAnsi="Times New Roman" w:cs="Times New Roman"/>
          <w:szCs w:val="24"/>
        </w:rPr>
        <w:t xml:space="preserve">Ainsi, chacune des chaines de valeurs des céréales sèches </w:t>
      </w:r>
      <w:r w:rsidR="00AB1D5F" w:rsidRPr="00C91C0F">
        <w:rPr>
          <w:rFonts w:ascii="Times New Roman" w:hAnsi="Times New Roman" w:cs="Times New Roman"/>
          <w:szCs w:val="24"/>
        </w:rPr>
        <w:t xml:space="preserve">présente un potentiel significatif pour l’expansion, en particulier si les obstacles rencontrés tout au long de la chaîne de valeur sont surmontés et si un environnement favorable est créé pour les investissements du secteur privé. </w:t>
      </w:r>
    </w:p>
    <w:p w:rsidR="00AB1D5F" w:rsidRPr="00C91C0F" w:rsidRDefault="004B1ABD" w:rsidP="004B1ABD">
      <w:pPr>
        <w:pStyle w:val="RapportPAPA"/>
        <w:rPr>
          <w:sz w:val="22"/>
        </w:rPr>
      </w:pPr>
      <w:r w:rsidRPr="00C91C0F">
        <w:rPr>
          <w:sz w:val="22"/>
        </w:rPr>
        <w:t xml:space="preserve">Acteurs du second maillon de cette chaine de valeur après la production, de par le fait qu’ils </w:t>
      </w:r>
      <w:r w:rsidR="00177659" w:rsidRPr="00C91C0F">
        <w:rPr>
          <w:sz w:val="22"/>
        </w:rPr>
        <w:t xml:space="preserve">s’approvisionnement directement auprès des producteurs ou auprès de collecteurs appelés </w:t>
      </w:r>
      <w:proofErr w:type="spellStart"/>
      <w:r w:rsidR="00177659" w:rsidRPr="00C91C0F">
        <w:rPr>
          <w:sz w:val="22"/>
        </w:rPr>
        <w:t>bana-bana</w:t>
      </w:r>
      <w:proofErr w:type="spellEnd"/>
      <w:r w:rsidRPr="00C91C0F">
        <w:rPr>
          <w:sz w:val="22"/>
        </w:rPr>
        <w:t>, les grossistes de céréales occupent une position importante</w:t>
      </w:r>
      <w:r w:rsidR="00177659" w:rsidRPr="00C91C0F">
        <w:rPr>
          <w:sz w:val="22"/>
        </w:rPr>
        <w:t>. En effet, les acteurs entre eux forment un véritable réseau au sein des marchés d’une zone et vers les autres zones de commercialisation. (USAID, 2009). Ils se distinguent de par leur implantation géographique (régions excédentaires ou déficitaires), leur position dans le circuit (collecteurs, demi-grossistes ou grossistes, commerçants/producteurs, commerçants/transporteurs) et de leur pouvoir financier (leur capacité de mobilisation de ressources financières et de produits). Le</w:t>
      </w:r>
      <w:r w:rsidRPr="00C91C0F">
        <w:rPr>
          <w:sz w:val="22"/>
        </w:rPr>
        <w:t>s grossistes mobilisent</w:t>
      </w:r>
      <w:r w:rsidR="00177659" w:rsidRPr="00C91C0F">
        <w:rPr>
          <w:sz w:val="22"/>
        </w:rPr>
        <w:t xml:space="preserve"> diverses sources d’approvisionnement et commercialisent en même temps divers types de céréales sèches. De plus, ils approvisionnent les commerçants détaillants, ainsi que les entreprises de transformation primaire et secondaire des céréales. </w:t>
      </w:r>
      <w:r w:rsidR="00A35AE6" w:rsidRPr="00C91C0F">
        <w:rPr>
          <w:sz w:val="22"/>
        </w:rPr>
        <w:t>Il est par conséquent important de comprendre la structure émergent</w:t>
      </w:r>
      <w:r w:rsidR="00B57C97" w:rsidRPr="00C91C0F">
        <w:rPr>
          <w:sz w:val="22"/>
        </w:rPr>
        <w:t>e</w:t>
      </w:r>
      <w:r w:rsidR="00A35AE6" w:rsidRPr="00C91C0F">
        <w:rPr>
          <w:sz w:val="22"/>
        </w:rPr>
        <w:t xml:space="preserve"> du commerce en gros des céréales, d’identifier les acteurs qui sont impliqués, ainsi que les obstacles et les défis technologiques. Il est aussi important de savoir comment ce segment peut être promu au sein de la chaine de valeur afin d’accélérer la création d’emplois et de créer des opportunités économiques pour les petites entreprises. </w:t>
      </w:r>
      <w:r w:rsidRPr="00C91C0F">
        <w:rPr>
          <w:sz w:val="22"/>
        </w:rPr>
        <w:t>Pour être utile à la prise de décisions politiques</w:t>
      </w:r>
      <w:r w:rsidR="00AE2BE8" w:rsidRPr="00C91C0F">
        <w:rPr>
          <w:sz w:val="22"/>
        </w:rPr>
        <w:t xml:space="preserve">, nous exploitons </w:t>
      </w:r>
      <w:r w:rsidR="00B57C97" w:rsidRPr="00C91C0F">
        <w:rPr>
          <w:sz w:val="22"/>
        </w:rPr>
        <w:t xml:space="preserve">dans ce chapitre </w:t>
      </w:r>
      <w:r w:rsidR="00AE2BE8" w:rsidRPr="00C91C0F">
        <w:rPr>
          <w:sz w:val="22"/>
        </w:rPr>
        <w:t>des</w:t>
      </w:r>
      <w:r w:rsidR="00AB1D5F" w:rsidRPr="00C91C0F">
        <w:rPr>
          <w:sz w:val="22"/>
        </w:rPr>
        <w:t xml:space="preserve"> données d’enquêtes ciblées et structurées pour documenter la manière dont ce segment est organisé et la manière dont les acteurs </w:t>
      </w:r>
      <w:r w:rsidR="00AB1D5F" w:rsidRPr="00C91C0F">
        <w:rPr>
          <w:sz w:val="22"/>
        </w:rPr>
        <w:lastRenderedPageBreak/>
        <w:t>fonctionnent.</w:t>
      </w:r>
      <w:r w:rsidR="00AE2BE8" w:rsidRPr="00C91C0F">
        <w:rPr>
          <w:sz w:val="22"/>
        </w:rPr>
        <w:t xml:space="preserve"> Pour se faire nous analysons le comportement puis la performance de ce segment de la commercialisation en gros des céréales sèches, à travers une diversité d’indicateurs quantitatifs et qualitatifs. </w:t>
      </w:r>
      <w:r w:rsidR="00C42941" w:rsidRPr="00C91C0F">
        <w:rPr>
          <w:sz w:val="22"/>
        </w:rPr>
        <w:t>La zone d’étude englobe toutes les régions du Sénégal et spécifiquement les milieux urbains.</w:t>
      </w:r>
    </w:p>
    <w:p w:rsidR="00B57C97" w:rsidRPr="00C91C0F" w:rsidRDefault="00B57C97" w:rsidP="004B1ABD">
      <w:pPr>
        <w:pStyle w:val="RapportPAPA"/>
        <w:rPr>
          <w:sz w:val="22"/>
        </w:rPr>
      </w:pPr>
      <w:r w:rsidRPr="00C91C0F">
        <w:rPr>
          <w:sz w:val="22"/>
        </w:rPr>
        <w:t xml:space="preserve">Nous nous posons les questions de recherche suivantes : </w:t>
      </w:r>
    </w:p>
    <w:p w:rsidR="00AB1D5F" w:rsidRPr="00C91C0F" w:rsidRDefault="00AB1D5F" w:rsidP="00AB1D5F">
      <w:pPr>
        <w:numPr>
          <w:ilvl w:val="0"/>
          <w:numId w:val="2"/>
        </w:numPr>
        <w:spacing w:after="0" w:line="360" w:lineRule="auto"/>
        <w:contextualSpacing/>
        <w:jc w:val="both"/>
        <w:rPr>
          <w:rFonts w:ascii="Times New Roman" w:eastAsia="Calibri" w:hAnsi="Times New Roman" w:cs="Times New Roman"/>
          <w:szCs w:val="24"/>
        </w:rPr>
      </w:pPr>
      <w:r w:rsidRPr="00C91C0F">
        <w:rPr>
          <w:rFonts w:ascii="Times New Roman" w:eastAsia="Calibri" w:hAnsi="Times New Roman" w:cs="Times New Roman"/>
          <w:szCs w:val="24"/>
        </w:rPr>
        <w:t xml:space="preserve">Qui sont les commerçants </w:t>
      </w:r>
      <w:r w:rsidR="005A61FF" w:rsidRPr="00C91C0F">
        <w:rPr>
          <w:rFonts w:ascii="Times New Roman" w:eastAsia="Calibri" w:hAnsi="Times New Roman" w:cs="Times New Roman"/>
          <w:szCs w:val="24"/>
        </w:rPr>
        <w:t xml:space="preserve">grossistes </w:t>
      </w:r>
      <w:r w:rsidRPr="00C91C0F">
        <w:rPr>
          <w:rFonts w:ascii="Times New Roman" w:eastAsia="Calibri" w:hAnsi="Times New Roman" w:cs="Times New Roman"/>
          <w:szCs w:val="24"/>
        </w:rPr>
        <w:t xml:space="preserve">de céréales sèches ? Leur composition a-t-elle changé dans le temps ? En d’autres termes, le commerce en gros des céréales sèches a-t-il enregistré </w:t>
      </w:r>
      <w:r w:rsidR="005A61FF" w:rsidRPr="00C91C0F">
        <w:rPr>
          <w:rFonts w:ascii="Times New Roman" w:eastAsia="Calibri" w:hAnsi="Times New Roman" w:cs="Times New Roman"/>
          <w:szCs w:val="24"/>
        </w:rPr>
        <w:t>l’arrivée ou la disparition d’</w:t>
      </w:r>
      <w:r w:rsidRPr="00C91C0F">
        <w:rPr>
          <w:rFonts w:ascii="Times New Roman" w:eastAsia="Calibri" w:hAnsi="Times New Roman" w:cs="Times New Roman"/>
          <w:szCs w:val="24"/>
        </w:rPr>
        <w:t>acteurs ?</w:t>
      </w:r>
    </w:p>
    <w:p w:rsidR="00AB1D5F" w:rsidRPr="00C91C0F" w:rsidRDefault="00AB1D5F" w:rsidP="00AB1D5F">
      <w:pPr>
        <w:numPr>
          <w:ilvl w:val="0"/>
          <w:numId w:val="2"/>
        </w:numPr>
        <w:spacing w:after="0" w:line="360" w:lineRule="auto"/>
        <w:contextualSpacing/>
        <w:jc w:val="both"/>
        <w:rPr>
          <w:rFonts w:ascii="Times New Roman" w:eastAsia="Calibri" w:hAnsi="Times New Roman" w:cs="Times New Roman"/>
          <w:szCs w:val="24"/>
        </w:rPr>
      </w:pPr>
      <w:r w:rsidRPr="00C91C0F">
        <w:rPr>
          <w:rFonts w:ascii="Times New Roman" w:eastAsia="Calibri" w:hAnsi="Times New Roman" w:cs="Times New Roman"/>
          <w:szCs w:val="24"/>
        </w:rPr>
        <w:t xml:space="preserve">Quelle est </w:t>
      </w:r>
      <w:r w:rsidR="005A61FF" w:rsidRPr="00C91C0F">
        <w:rPr>
          <w:rFonts w:ascii="Times New Roman" w:eastAsia="Calibri" w:hAnsi="Times New Roman" w:cs="Times New Roman"/>
          <w:szCs w:val="24"/>
        </w:rPr>
        <w:t xml:space="preserve">le comportement des grossistes </w:t>
      </w:r>
      <w:r w:rsidRPr="00C91C0F">
        <w:rPr>
          <w:rFonts w:ascii="Times New Roman" w:eastAsia="Calibri" w:hAnsi="Times New Roman" w:cs="Times New Roman"/>
          <w:szCs w:val="24"/>
        </w:rPr>
        <w:t xml:space="preserve">de céréales sèches ? </w:t>
      </w:r>
      <w:r w:rsidR="005A61FF" w:rsidRPr="00C91C0F">
        <w:rPr>
          <w:rFonts w:ascii="Times New Roman" w:eastAsia="Calibri" w:hAnsi="Times New Roman" w:cs="Times New Roman"/>
          <w:szCs w:val="24"/>
        </w:rPr>
        <w:t>Ce comportement a</w:t>
      </w:r>
      <w:r w:rsidRPr="00C91C0F">
        <w:rPr>
          <w:rFonts w:ascii="Times New Roman" w:eastAsia="Calibri" w:hAnsi="Times New Roman" w:cs="Times New Roman"/>
          <w:szCs w:val="24"/>
        </w:rPr>
        <w:t>-t-il connu des mutations ? En d’autres termes, le financement, l’accès aux intrants, la vente des produits ont-ils changé ? Si oui, comment ? Le changement se traduit-il en une intensification en capital et des avancées technologiques, une émergence de la contractualisation ?</w:t>
      </w:r>
    </w:p>
    <w:p w:rsidR="00AB1D5F" w:rsidRPr="00C91C0F" w:rsidRDefault="00AB1D5F" w:rsidP="00AB1D5F">
      <w:pPr>
        <w:numPr>
          <w:ilvl w:val="0"/>
          <w:numId w:val="2"/>
        </w:numPr>
        <w:spacing w:after="0" w:line="360" w:lineRule="auto"/>
        <w:contextualSpacing/>
        <w:jc w:val="both"/>
        <w:rPr>
          <w:rFonts w:ascii="Times New Roman" w:eastAsia="Calibri" w:hAnsi="Times New Roman" w:cs="Times New Roman"/>
          <w:szCs w:val="24"/>
        </w:rPr>
      </w:pPr>
      <w:r w:rsidRPr="00C91C0F">
        <w:rPr>
          <w:rFonts w:ascii="Times New Roman" w:eastAsia="Calibri" w:hAnsi="Times New Roman" w:cs="Times New Roman"/>
          <w:szCs w:val="24"/>
        </w:rPr>
        <w:t xml:space="preserve"> </w:t>
      </w:r>
      <w:r w:rsidR="005A61FF" w:rsidRPr="00C91C0F">
        <w:rPr>
          <w:rFonts w:ascii="Times New Roman" w:eastAsia="Calibri" w:hAnsi="Times New Roman" w:cs="Times New Roman"/>
          <w:szCs w:val="24"/>
        </w:rPr>
        <w:t>Quelle est la performance du segment de la commercialisation en gros des céréales sèches</w:t>
      </w:r>
      <w:r w:rsidRPr="00C91C0F">
        <w:rPr>
          <w:rFonts w:ascii="Times New Roman" w:eastAsia="Calibri" w:hAnsi="Times New Roman" w:cs="Times New Roman"/>
          <w:szCs w:val="24"/>
        </w:rPr>
        <w:t xml:space="preserve"> ? Est-elle inclusive ? En d’autres termes, les gains sont-ils équitablement répartis entre les petits et les grands commerçants ? </w:t>
      </w:r>
    </w:p>
    <w:p w:rsidR="005A61FF" w:rsidRPr="00B423E0" w:rsidRDefault="005A61FF" w:rsidP="00AB1D5F">
      <w:pPr>
        <w:rPr>
          <w:rFonts w:ascii="Times New Roman" w:hAnsi="Times New Roman" w:cs="Times New Roman"/>
        </w:rPr>
      </w:pPr>
    </w:p>
    <w:p w:rsidR="00177659" w:rsidRPr="00B423E0" w:rsidRDefault="00177659">
      <w:pPr>
        <w:rPr>
          <w:rFonts w:ascii="Times New Roman" w:hAnsi="Times New Roman" w:cs="Times New Roman"/>
        </w:rPr>
      </w:pPr>
      <w:r w:rsidRPr="00B423E0">
        <w:rPr>
          <w:rFonts w:ascii="Times New Roman" w:hAnsi="Times New Roman" w:cs="Times New Roman"/>
        </w:rPr>
        <w:br w:type="page"/>
      </w:r>
    </w:p>
    <w:p w:rsidR="00AB1D5F" w:rsidRPr="00B423E0" w:rsidRDefault="00AB1D5F" w:rsidP="00177659">
      <w:pPr>
        <w:pStyle w:val="Titre1"/>
        <w:numPr>
          <w:ilvl w:val="0"/>
          <w:numId w:val="0"/>
        </w:numPr>
        <w:rPr>
          <w:rFonts w:cs="Times New Roman"/>
          <w:sz w:val="24"/>
          <w:szCs w:val="24"/>
        </w:rPr>
      </w:pPr>
      <w:r w:rsidRPr="00B423E0">
        <w:rPr>
          <w:rFonts w:cs="Times New Roman"/>
        </w:rPr>
        <w:lastRenderedPageBreak/>
        <w:t>Méthodologie et source des données (</w:t>
      </w:r>
      <w:proofErr w:type="spellStart"/>
      <w:r w:rsidRPr="00B423E0">
        <w:rPr>
          <w:rFonts w:cs="Times New Roman"/>
        </w:rPr>
        <w:t>Cf</w:t>
      </w:r>
      <w:proofErr w:type="spellEnd"/>
      <w:r w:rsidRPr="00B423E0">
        <w:rPr>
          <w:rFonts w:cs="Times New Roman"/>
        </w:rPr>
        <w:t xml:space="preserve"> Chapitre : Commerce de détail)</w:t>
      </w:r>
    </w:p>
    <w:p w:rsidR="00AB1D5F" w:rsidRPr="00B423E0" w:rsidRDefault="00AB1D5F" w:rsidP="00C811CC">
      <w:pPr>
        <w:pStyle w:val="Titre1"/>
        <w:numPr>
          <w:ilvl w:val="0"/>
          <w:numId w:val="12"/>
        </w:numPr>
        <w:rPr>
          <w:rFonts w:cs="Times New Roman"/>
        </w:rPr>
      </w:pPr>
      <w:bookmarkStart w:id="10" w:name="_Toc34730692"/>
      <w:r w:rsidRPr="00B423E0">
        <w:rPr>
          <w:rFonts w:cs="Times New Roman"/>
        </w:rPr>
        <w:t>Structure du commerce en gros</w:t>
      </w:r>
      <w:bookmarkEnd w:id="10"/>
    </w:p>
    <w:p w:rsidR="00AB1D5F" w:rsidRPr="00C91C0F" w:rsidRDefault="00AB1D5F" w:rsidP="004F1CB0">
      <w:pPr>
        <w:pStyle w:val="RapportPAPA0"/>
        <w:rPr>
          <w:sz w:val="22"/>
        </w:rPr>
      </w:pPr>
      <w:r w:rsidRPr="00C91C0F">
        <w:rPr>
          <w:sz w:val="22"/>
        </w:rPr>
        <w:t>Les commerçants grossistes de céréales sèches enquêtés sont essentiellement composés d’hommes âgés en moyenne de 41 ans. On compte parmi eux, un nombre important d’analphabètes (49%). Cependant, la majorité des grossistes alphabétisés savent aussi bien lire qu’écrire dans une langue. Leurs niveaux d’éducation co</w:t>
      </w:r>
      <w:r w:rsidR="009B6AC1">
        <w:rPr>
          <w:sz w:val="22"/>
        </w:rPr>
        <w:t xml:space="preserve">mme illustrés dans le tableau </w:t>
      </w:r>
      <w:r w:rsidRPr="00C91C0F">
        <w:rPr>
          <w:sz w:val="22"/>
        </w:rPr>
        <w:t xml:space="preserve">1, ne dépassent pas le lycée dans les deux systèmes arabophones et francophones. </w:t>
      </w:r>
      <w:bookmarkStart w:id="11" w:name="_Toc1484421"/>
      <w:bookmarkStart w:id="12" w:name="_Toc3549368"/>
    </w:p>
    <w:bookmarkEnd w:id="11"/>
    <w:bookmarkEnd w:id="12"/>
    <w:p w:rsidR="00AB1D5F" w:rsidRPr="00C91C0F" w:rsidRDefault="00AB1D5F" w:rsidP="004F1CB0">
      <w:pPr>
        <w:pStyle w:val="Lgende"/>
        <w:keepNext/>
        <w:spacing w:line="360" w:lineRule="auto"/>
        <w:rPr>
          <w:rFonts w:cs="Times New Roman"/>
          <w:sz w:val="22"/>
        </w:rPr>
      </w:pPr>
      <w:r w:rsidRPr="00C91C0F">
        <w:rPr>
          <w:rFonts w:cs="Times New Roman"/>
          <w:b/>
          <w:sz w:val="22"/>
        </w:rPr>
        <w:t xml:space="preserve">Tableau </w:t>
      </w:r>
      <w:r w:rsidRPr="00C91C0F">
        <w:rPr>
          <w:rFonts w:cs="Times New Roman"/>
          <w:b/>
          <w:sz w:val="22"/>
        </w:rPr>
        <w:fldChar w:fldCharType="begin"/>
      </w:r>
      <w:r w:rsidRPr="00C91C0F">
        <w:rPr>
          <w:rFonts w:cs="Times New Roman"/>
          <w:b/>
          <w:sz w:val="22"/>
        </w:rPr>
        <w:instrText xml:space="preserve"> STYLEREF 1 \s </w:instrText>
      </w:r>
      <w:r w:rsidRPr="00C91C0F">
        <w:rPr>
          <w:rFonts w:cs="Times New Roman"/>
          <w:b/>
          <w:sz w:val="22"/>
        </w:rPr>
        <w:fldChar w:fldCharType="separate"/>
      </w:r>
      <w:r w:rsidRPr="00C91C0F">
        <w:rPr>
          <w:rFonts w:cs="Times New Roman"/>
          <w:b/>
          <w:noProof/>
          <w:sz w:val="22"/>
        </w:rPr>
        <w:t>1</w:t>
      </w:r>
      <w:r w:rsidRPr="00C91C0F">
        <w:rPr>
          <w:rFonts w:cs="Times New Roman"/>
          <w:b/>
          <w:sz w:val="22"/>
        </w:rPr>
        <w:fldChar w:fldCharType="end"/>
      </w:r>
      <w:r w:rsidRPr="00C91C0F">
        <w:rPr>
          <w:rFonts w:cs="Times New Roman"/>
          <w:sz w:val="22"/>
        </w:rPr>
        <w:t>: Caractéristiques générales des propriétaires et gestionnaires des entreprises de commercialisation des céréales sèches (vente en gros)</w:t>
      </w:r>
    </w:p>
    <w:tbl>
      <w:tblPr>
        <w:tblStyle w:val="TableauGrille1Clair"/>
        <w:tblW w:w="4962" w:type="pct"/>
        <w:tblLook w:val="04A0" w:firstRow="1" w:lastRow="0" w:firstColumn="1" w:lastColumn="0" w:noHBand="0" w:noVBand="1"/>
      </w:tblPr>
      <w:tblGrid>
        <w:gridCol w:w="6063"/>
        <w:gridCol w:w="2930"/>
      </w:tblGrid>
      <w:tr w:rsidR="00AB1D5F" w:rsidRPr="00C91C0F" w:rsidTr="00C91C0F">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AB1D5F" w:rsidRPr="00C91C0F" w:rsidRDefault="00AB1D5F" w:rsidP="00AB1D5F">
            <w:pPr>
              <w:spacing w:line="360" w:lineRule="auto"/>
              <w:jc w:val="both"/>
              <w:rPr>
                <w:rFonts w:ascii="Times New Roman" w:hAnsi="Times New Roman" w:cs="Times New Roman"/>
                <w:b w:val="0"/>
                <w:bCs w:val="0"/>
                <w:sz w:val="20"/>
                <w:szCs w:val="20"/>
              </w:rPr>
            </w:pPr>
            <w:r w:rsidRPr="00C91C0F">
              <w:rPr>
                <w:rFonts w:ascii="Times New Roman" w:hAnsi="Times New Roman" w:cs="Times New Roman"/>
                <w:sz w:val="20"/>
                <w:szCs w:val="20"/>
              </w:rPr>
              <w:t>Alphabétisation et niveaux d’éducation (</w:t>
            </w:r>
            <w:r w:rsidRPr="00C91C0F">
              <w:rPr>
                <w:rFonts w:ascii="Times New Roman" w:eastAsia="Times New Roman" w:hAnsi="Times New Roman" w:cs="Times New Roman"/>
                <w:color w:val="000000"/>
                <w:sz w:val="20"/>
                <w:szCs w:val="20"/>
                <w:lang w:eastAsia="fr-FR"/>
              </w:rPr>
              <w:t>N=87)</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AB1D5F" w:rsidRPr="00C91C0F" w:rsidRDefault="00AB1D5F" w:rsidP="00AB1D5F">
            <w:pPr>
              <w:spacing w:line="360" w:lineRule="auto"/>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Alphabétisation (%)</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Sans niveau</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49</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Sait lire dans une langue</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13</w:t>
            </w:r>
          </w:p>
        </w:tc>
      </w:tr>
      <w:tr w:rsidR="00AB1D5F" w:rsidRPr="00C91C0F" w:rsidTr="00C91C0F">
        <w:trPr>
          <w:trHeight w:val="389"/>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Sait lire et écrire dans une langue</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38</w:t>
            </w:r>
          </w:p>
        </w:tc>
      </w:tr>
      <w:tr w:rsidR="00AB1D5F" w:rsidRPr="00C91C0F" w:rsidTr="00C91C0F">
        <w:trPr>
          <w:trHeight w:val="389"/>
        </w:trPr>
        <w:tc>
          <w:tcPr>
            <w:cnfStyle w:val="001000000000" w:firstRow="0" w:lastRow="0" w:firstColumn="1" w:lastColumn="0" w:oddVBand="0" w:evenVBand="0" w:oddHBand="0" w:evenHBand="0" w:firstRowFirstColumn="0" w:firstRowLastColumn="0" w:lastRowFirstColumn="0" w:lastRowLastColumn="0"/>
            <w:tcW w:w="5000" w:type="pct"/>
            <w:gridSpan w:val="2"/>
          </w:tcPr>
          <w:p w:rsidR="00AB1D5F" w:rsidRPr="00C91C0F" w:rsidRDefault="00AB1D5F" w:rsidP="00AB1D5F">
            <w:pPr>
              <w:spacing w:line="360" w:lineRule="auto"/>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Niveaux d’éducation en français (%)</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 xml:space="preserve">Aucun niveau d'éducation </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48</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 xml:space="preserve">Niveau d'éducation primaire </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31</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 xml:space="preserve">Niveau d'éducation moyen </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16</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 xml:space="preserve">Niveau d'éducation secondaire </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5</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 xml:space="preserve">Niveau d'éducation supérieur </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0</w:t>
            </w:r>
          </w:p>
        </w:tc>
      </w:tr>
      <w:tr w:rsidR="00AB1D5F" w:rsidRPr="00C91C0F" w:rsidTr="00C91C0F">
        <w:trPr>
          <w:trHeight w:val="389"/>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AB1D5F" w:rsidRPr="00C91C0F" w:rsidRDefault="00AB1D5F" w:rsidP="00AB1D5F">
            <w:pPr>
              <w:spacing w:line="360" w:lineRule="auto"/>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Niveau d'instruction en arabe (%)</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 xml:space="preserve">Aucun niveau d'éducation </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63</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 xml:space="preserve">Niveau d'éducation primaire </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15</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 xml:space="preserve">Niveau d'éducation moyen </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15</w:t>
            </w:r>
          </w:p>
        </w:tc>
      </w:tr>
      <w:tr w:rsidR="00AB1D5F" w:rsidRPr="00C91C0F" w:rsidTr="00C91C0F">
        <w:trPr>
          <w:trHeight w:val="370"/>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 xml:space="preserve">Niveau d'éducation secondaire </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7</w:t>
            </w:r>
          </w:p>
        </w:tc>
      </w:tr>
      <w:tr w:rsidR="00AB1D5F" w:rsidRPr="00C91C0F" w:rsidTr="00C91C0F">
        <w:trPr>
          <w:trHeight w:val="56"/>
        </w:trPr>
        <w:tc>
          <w:tcPr>
            <w:cnfStyle w:val="001000000000" w:firstRow="0" w:lastRow="0" w:firstColumn="1" w:lastColumn="0" w:oddVBand="0" w:evenVBand="0" w:oddHBand="0" w:evenHBand="0" w:firstRowFirstColumn="0" w:firstRowLastColumn="0" w:lastRowFirstColumn="0" w:lastRowLastColumn="0"/>
            <w:tcW w:w="3371" w:type="pct"/>
            <w:hideMark/>
          </w:tcPr>
          <w:p w:rsidR="00AB1D5F" w:rsidRPr="00C91C0F" w:rsidRDefault="00AB1D5F" w:rsidP="00AB1D5F">
            <w:pPr>
              <w:spacing w:line="360" w:lineRule="auto"/>
              <w:ind w:left="708"/>
              <w:jc w:val="both"/>
              <w:rPr>
                <w:rFonts w:ascii="Times New Roman" w:hAnsi="Times New Roman" w:cs="Times New Roman"/>
                <w:b w:val="0"/>
                <w:bCs w:val="0"/>
                <w:sz w:val="20"/>
                <w:szCs w:val="20"/>
              </w:rPr>
            </w:pPr>
            <w:r w:rsidRPr="00C91C0F">
              <w:rPr>
                <w:rFonts w:ascii="Times New Roman" w:hAnsi="Times New Roman" w:cs="Times New Roman"/>
                <w:b w:val="0"/>
                <w:sz w:val="20"/>
                <w:szCs w:val="20"/>
              </w:rPr>
              <w:t xml:space="preserve">Niveau d'éducation supérieur </w:t>
            </w:r>
          </w:p>
        </w:tc>
        <w:tc>
          <w:tcPr>
            <w:tcW w:w="1628" w:type="pct"/>
            <w:hideMark/>
          </w:tcPr>
          <w:p w:rsidR="00AB1D5F" w:rsidRPr="00C91C0F" w:rsidRDefault="00AB1D5F" w:rsidP="00AB1D5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91C0F">
              <w:rPr>
                <w:rFonts w:ascii="Times New Roman" w:hAnsi="Times New Roman" w:cs="Times New Roman"/>
                <w:sz w:val="20"/>
                <w:szCs w:val="20"/>
              </w:rPr>
              <w:t>0</w:t>
            </w:r>
          </w:p>
        </w:tc>
      </w:tr>
    </w:tbl>
    <w:p w:rsidR="00AB1D5F" w:rsidRPr="00B423E0" w:rsidRDefault="00AB1D5F" w:rsidP="00AB1D5F">
      <w:pPr>
        <w:spacing w:line="360" w:lineRule="auto"/>
        <w:jc w:val="both"/>
        <w:rPr>
          <w:rFonts w:ascii="Times New Roman" w:hAnsi="Times New Roman" w:cs="Times New Roman"/>
        </w:rPr>
      </w:pPr>
      <w:r w:rsidRPr="00B423E0">
        <w:rPr>
          <w:rFonts w:ascii="Times New Roman" w:hAnsi="Times New Roman" w:cs="Times New Roman"/>
        </w:rPr>
        <w:t>Source : Enquêtes PAPA, 2018</w:t>
      </w:r>
    </w:p>
    <w:p w:rsidR="00AB1D5F" w:rsidRPr="00C91C0F" w:rsidRDefault="00AB1D5F" w:rsidP="00AB1D5F">
      <w:pPr>
        <w:pStyle w:val="RapportPAPA0"/>
        <w:rPr>
          <w:sz w:val="22"/>
        </w:rPr>
      </w:pPr>
      <w:r w:rsidRPr="00C91C0F">
        <w:rPr>
          <w:sz w:val="22"/>
        </w:rPr>
        <w:t xml:space="preserve">Contrairement au commerce de riz des régions de la Volta et du Grand Accra au Ghana, la vente en gros de céréale au Sénégal est très masculinisée. Dans ces régions du Ghana, les commerçants de riz, dont 25% de grossistes sont à 80,6% constitués de femmes. L’éducation au niveau des acteurs de la commercialisation en gros de céréales au Sénégal est également très en arrière par rapport au Ghana dans les régions de la Grande Accra et de la Volta. En effet, seuls 8,5% des commerçants de ces régions </w:t>
      </w:r>
      <w:r w:rsidRPr="00C91C0F">
        <w:rPr>
          <w:sz w:val="22"/>
        </w:rPr>
        <w:lastRenderedPageBreak/>
        <w:t>du Ghana sont non scolarisés et 32% d’entre eux ont au moins reçu une éducation de niveau primaire. (</w:t>
      </w:r>
      <w:proofErr w:type="spellStart"/>
      <w:r w:rsidRPr="00C91C0F">
        <w:rPr>
          <w:sz w:val="22"/>
        </w:rPr>
        <w:t>Omari</w:t>
      </w:r>
      <w:proofErr w:type="spellEnd"/>
      <w:r w:rsidRPr="00C91C0F">
        <w:rPr>
          <w:sz w:val="22"/>
        </w:rPr>
        <w:t xml:space="preserve">, </w:t>
      </w:r>
      <w:proofErr w:type="spellStart"/>
      <w:r w:rsidRPr="00C91C0F">
        <w:rPr>
          <w:sz w:val="22"/>
        </w:rPr>
        <w:t>Ampadu-Ameyaw</w:t>
      </w:r>
      <w:proofErr w:type="spellEnd"/>
      <w:r w:rsidRPr="00C91C0F">
        <w:rPr>
          <w:sz w:val="22"/>
        </w:rPr>
        <w:t xml:space="preserve">, &amp; </w:t>
      </w:r>
      <w:proofErr w:type="spellStart"/>
      <w:r w:rsidRPr="00C91C0F">
        <w:rPr>
          <w:sz w:val="22"/>
        </w:rPr>
        <w:t>Owusu</w:t>
      </w:r>
      <w:proofErr w:type="spellEnd"/>
      <w:r w:rsidRPr="00C91C0F">
        <w:rPr>
          <w:sz w:val="22"/>
        </w:rPr>
        <w:t xml:space="preserve"> </w:t>
      </w:r>
      <w:proofErr w:type="spellStart"/>
      <w:r w:rsidRPr="00C91C0F">
        <w:rPr>
          <w:sz w:val="22"/>
        </w:rPr>
        <w:t>Essegbey</w:t>
      </w:r>
      <w:proofErr w:type="spellEnd"/>
      <w:r w:rsidRPr="00C91C0F">
        <w:rPr>
          <w:sz w:val="22"/>
        </w:rPr>
        <w:t>, 2018)</w:t>
      </w:r>
    </w:p>
    <w:p w:rsidR="00AB1D5F" w:rsidRPr="00C91C0F" w:rsidRDefault="00AB1D5F" w:rsidP="00AB1D5F">
      <w:pPr>
        <w:pStyle w:val="RapportPAPA0"/>
        <w:rPr>
          <w:sz w:val="22"/>
        </w:rPr>
      </w:pPr>
      <w:r w:rsidRPr="00C91C0F">
        <w:rPr>
          <w:sz w:val="22"/>
        </w:rPr>
        <w:t>Les entreprises sénégalaises de vente en gros de céréales ont en moyenne 13 années d’ancienneté. Elles sont à 85 % localisées dans de</w:t>
      </w:r>
      <w:r w:rsidR="009B6AC1">
        <w:rPr>
          <w:sz w:val="22"/>
        </w:rPr>
        <w:t>s marchés urbains. La figure 1</w:t>
      </w:r>
      <w:r w:rsidRPr="00C91C0F">
        <w:rPr>
          <w:sz w:val="22"/>
        </w:rPr>
        <w:t xml:space="preserve"> montre que ces entreprises commercialisent majoritairement du riz (85% de vendeurs de riz importé et 50% de vendeurs de riz local). Les taux de commercialisation du mil et du maïs dépassent cependant celui du riz local car ils sont vendus respectivement dans 64 % et 54,3% des entreprises de vente en gros. Le sorgho (vendu par 21,8% des grossistes) vient après le riz local. Le fonio reste la céréale sèche la moins fréquemment vendue par les grossistes au Sénégal. </w:t>
      </w:r>
    </w:p>
    <w:p w:rsidR="00AB1D5F" w:rsidRPr="00B423E0" w:rsidRDefault="00AB1D5F" w:rsidP="00AB1D5F">
      <w:pPr>
        <w:pStyle w:val="RapportPAPA0"/>
      </w:pPr>
    </w:p>
    <w:p w:rsidR="00AB1D5F" w:rsidRPr="00B423E0" w:rsidRDefault="00AB1D5F" w:rsidP="00AB1D5F">
      <w:pPr>
        <w:keepNext/>
        <w:spacing w:line="360" w:lineRule="auto"/>
        <w:jc w:val="both"/>
        <w:rPr>
          <w:rFonts w:ascii="Times New Roman" w:hAnsi="Times New Roman" w:cs="Times New Roman"/>
        </w:rPr>
      </w:pPr>
      <w:r w:rsidRPr="00B423E0">
        <w:rPr>
          <w:rFonts w:ascii="Times New Roman" w:hAnsi="Times New Roman" w:cs="Times New Roman"/>
          <w:noProof/>
          <w:lang w:eastAsia="fr-FR"/>
        </w:rPr>
        <w:drawing>
          <wp:inline distT="0" distB="0" distL="0" distR="0" wp14:anchorId="0296CACC" wp14:editId="6DEE99F2">
            <wp:extent cx="5748655" cy="2366645"/>
            <wp:effectExtent l="0" t="0" r="4445" b="14605"/>
            <wp:docPr id="3"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1D5F" w:rsidRPr="00C91C0F" w:rsidRDefault="00AB1D5F" w:rsidP="00AB1D5F">
      <w:pPr>
        <w:pStyle w:val="Lgende"/>
        <w:spacing w:after="0"/>
        <w:jc w:val="both"/>
        <w:rPr>
          <w:rFonts w:cs="Times New Roman"/>
          <w:sz w:val="22"/>
          <w:szCs w:val="22"/>
        </w:rPr>
      </w:pPr>
      <w:r w:rsidRPr="00C91C0F">
        <w:rPr>
          <w:rFonts w:cs="Times New Roman"/>
          <w:b/>
          <w:sz w:val="22"/>
          <w:szCs w:val="22"/>
        </w:rPr>
        <w:t xml:space="preserve">Figure </w:t>
      </w:r>
      <w:r w:rsidRPr="00C91C0F">
        <w:rPr>
          <w:rFonts w:cs="Times New Roman"/>
          <w:b/>
          <w:sz w:val="22"/>
          <w:szCs w:val="22"/>
        </w:rPr>
        <w:fldChar w:fldCharType="begin"/>
      </w:r>
      <w:r w:rsidRPr="00C91C0F">
        <w:rPr>
          <w:rFonts w:cs="Times New Roman"/>
          <w:b/>
          <w:sz w:val="22"/>
          <w:szCs w:val="22"/>
        </w:rPr>
        <w:instrText xml:space="preserve"> STYLEREF 1 \s </w:instrText>
      </w:r>
      <w:r w:rsidRPr="00C91C0F">
        <w:rPr>
          <w:rFonts w:cs="Times New Roman"/>
          <w:b/>
          <w:sz w:val="22"/>
          <w:szCs w:val="22"/>
        </w:rPr>
        <w:fldChar w:fldCharType="separate"/>
      </w:r>
      <w:r w:rsidRPr="00C91C0F">
        <w:rPr>
          <w:rFonts w:cs="Times New Roman"/>
          <w:b/>
          <w:noProof/>
          <w:sz w:val="22"/>
          <w:szCs w:val="22"/>
        </w:rPr>
        <w:t>1</w:t>
      </w:r>
      <w:r w:rsidRPr="00C91C0F">
        <w:rPr>
          <w:rFonts w:cs="Times New Roman"/>
          <w:b/>
          <w:sz w:val="22"/>
          <w:szCs w:val="22"/>
        </w:rPr>
        <w:fldChar w:fldCharType="end"/>
      </w:r>
      <w:r w:rsidRPr="00C91C0F">
        <w:rPr>
          <w:rFonts w:cs="Times New Roman"/>
          <w:b/>
          <w:sz w:val="22"/>
          <w:szCs w:val="22"/>
        </w:rPr>
        <w:t xml:space="preserve"> :</w:t>
      </w:r>
      <w:r w:rsidRPr="00C91C0F">
        <w:rPr>
          <w:rFonts w:cs="Times New Roman"/>
          <w:sz w:val="22"/>
          <w:szCs w:val="22"/>
        </w:rPr>
        <w:t xml:space="preserve"> Les types de céréales commercialisées en période 2017/2018 </w:t>
      </w:r>
    </w:p>
    <w:p w:rsidR="00AB1D5F" w:rsidRPr="00C91C0F" w:rsidRDefault="00AB1D5F" w:rsidP="00AB1D5F">
      <w:pPr>
        <w:pStyle w:val="Lgende"/>
        <w:spacing w:after="0"/>
        <w:jc w:val="both"/>
        <w:rPr>
          <w:rFonts w:cs="Times New Roman"/>
          <w:sz w:val="22"/>
          <w:szCs w:val="22"/>
        </w:rPr>
      </w:pPr>
      <w:r w:rsidRPr="00C91C0F">
        <w:rPr>
          <w:rFonts w:cs="Times New Roman"/>
          <w:sz w:val="22"/>
          <w:szCs w:val="22"/>
        </w:rPr>
        <w:t>Source : Enquête PAPA, 2018</w:t>
      </w:r>
    </w:p>
    <w:p w:rsidR="00AB1D5F" w:rsidRPr="00C91C0F" w:rsidRDefault="00AB1D5F" w:rsidP="00AB1D5F">
      <w:pPr>
        <w:pStyle w:val="RapportPAPA0"/>
        <w:rPr>
          <w:sz w:val="22"/>
          <w:szCs w:val="22"/>
        </w:rPr>
      </w:pPr>
      <w:r w:rsidRPr="00C91C0F">
        <w:rPr>
          <w:sz w:val="22"/>
          <w:szCs w:val="22"/>
        </w:rPr>
        <w:t>Ces tendances de vente pourraient se justifier par le fait que « le mil constitue la céréale traditionnelle la plus répandue en milieu rural où il est consommé partout sous diverses formes. S’agissant du sorgho, il est dans l’ensemble moins consommé et tendrait même à devenir un aliment de bétail sauf dans certaines zones spécifiques. Quant au maïs, produit principalement dans le centre-sud, on l'utilise en général pour faire du couscous, souvent en association avec le mil dont il peut être un complément ou un substitut selon les zones. » (</w:t>
      </w:r>
      <w:proofErr w:type="spellStart"/>
      <w:r w:rsidRPr="00C91C0F">
        <w:rPr>
          <w:sz w:val="22"/>
          <w:szCs w:val="22"/>
        </w:rPr>
        <w:t>Feed</w:t>
      </w:r>
      <w:proofErr w:type="spellEnd"/>
      <w:r w:rsidRPr="00C91C0F">
        <w:rPr>
          <w:sz w:val="22"/>
          <w:szCs w:val="22"/>
        </w:rPr>
        <w:t xml:space="preserve"> the Future </w:t>
      </w:r>
      <w:proofErr w:type="spellStart"/>
      <w:r w:rsidRPr="00C91C0F">
        <w:rPr>
          <w:sz w:val="22"/>
          <w:szCs w:val="22"/>
        </w:rPr>
        <w:t>Senegal</w:t>
      </w:r>
      <w:proofErr w:type="spellEnd"/>
      <w:r w:rsidRPr="00C91C0F">
        <w:rPr>
          <w:sz w:val="22"/>
          <w:szCs w:val="22"/>
        </w:rPr>
        <w:t xml:space="preserve"> </w:t>
      </w:r>
      <w:proofErr w:type="spellStart"/>
      <w:r w:rsidRPr="00C91C0F">
        <w:rPr>
          <w:sz w:val="22"/>
          <w:szCs w:val="22"/>
        </w:rPr>
        <w:t>Naatal</w:t>
      </w:r>
      <w:proofErr w:type="spellEnd"/>
      <w:r w:rsidRPr="00C91C0F">
        <w:rPr>
          <w:sz w:val="22"/>
          <w:szCs w:val="22"/>
        </w:rPr>
        <w:t xml:space="preserve"> </w:t>
      </w:r>
      <w:proofErr w:type="spellStart"/>
      <w:r w:rsidRPr="00C91C0F">
        <w:rPr>
          <w:sz w:val="22"/>
          <w:szCs w:val="22"/>
        </w:rPr>
        <w:t>Mbay</w:t>
      </w:r>
      <w:proofErr w:type="spellEnd"/>
      <w:r w:rsidRPr="00C91C0F">
        <w:rPr>
          <w:sz w:val="22"/>
          <w:szCs w:val="22"/>
        </w:rPr>
        <w:t xml:space="preserve">, 2017) </w:t>
      </w:r>
    </w:p>
    <w:p w:rsidR="00AB1D5F" w:rsidRPr="00C91C0F" w:rsidRDefault="00AB1D5F" w:rsidP="00AB1D5F">
      <w:pPr>
        <w:pStyle w:val="RapportPAPA0"/>
        <w:rPr>
          <w:sz w:val="22"/>
          <w:szCs w:val="22"/>
        </w:rPr>
      </w:pPr>
      <w:r w:rsidRPr="00C91C0F">
        <w:rPr>
          <w:sz w:val="22"/>
          <w:szCs w:val="22"/>
        </w:rPr>
        <w:t xml:space="preserve">Le taux de commercialisation du riz local a néanmoins connu une augmentation puisque seuls 50% des commerçants en vendaient au démarrage de leur activité. </w:t>
      </w:r>
    </w:p>
    <w:p w:rsidR="00AB1D5F" w:rsidRPr="00C91C0F" w:rsidRDefault="009B6AC1" w:rsidP="00AB1D5F">
      <w:pPr>
        <w:pStyle w:val="RapportPAPA0"/>
        <w:rPr>
          <w:sz w:val="22"/>
          <w:szCs w:val="22"/>
        </w:rPr>
      </w:pPr>
      <w:r>
        <w:rPr>
          <w:sz w:val="22"/>
          <w:szCs w:val="22"/>
        </w:rPr>
        <w:t xml:space="preserve">Le tableau </w:t>
      </w:r>
      <w:r w:rsidR="00AB1D5F" w:rsidRPr="00C91C0F">
        <w:rPr>
          <w:sz w:val="22"/>
          <w:szCs w:val="22"/>
        </w:rPr>
        <w:t xml:space="preserve">2 présente quelques autres éléments caractérisant les entreprises de vente en gros de céréales sèches. En effet, la vente de céréales reste l’activité principale de ces commerçants grossistes avec moins de 10 % d’entre eux qui, en dehors de ce commerce, mènent une autre activité non-agricole. </w:t>
      </w:r>
    </w:p>
    <w:p w:rsidR="00AB1D5F" w:rsidRPr="00C91C0F" w:rsidRDefault="00AB1D5F" w:rsidP="00AB1D5F">
      <w:pPr>
        <w:keepNext/>
        <w:spacing w:after="200" w:line="240" w:lineRule="auto"/>
        <w:rPr>
          <w:rFonts w:ascii="Times New Roman" w:hAnsi="Times New Roman" w:cs="Times New Roman"/>
          <w:iCs/>
        </w:rPr>
      </w:pPr>
      <w:bookmarkStart w:id="13" w:name="_Toc1484422"/>
      <w:bookmarkStart w:id="14" w:name="_Toc3549369"/>
      <w:bookmarkStart w:id="15" w:name="_Toc34827997"/>
      <w:r w:rsidRPr="00C91C0F">
        <w:rPr>
          <w:rFonts w:ascii="Times New Roman" w:hAnsi="Times New Roman" w:cs="Times New Roman"/>
          <w:b/>
          <w:iCs/>
        </w:rPr>
        <w:lastRenderedPageBreak/>
        <w:t xml:space="preserve">Tableau </w:t>
      </w:r>
      <w:r w:rsidRPr="00C91C0F">
        <w:rPr>
          <w:rFonts w:ascii="Times New Roman" w:hAnsi="Times New Roman" w:cs="Times New Roman"/>
          <w:b/>
          <w:iCs/>
        </w:rPr>
        <w:fldChar w:fldCharType="begin"/>
      </w:r>
      <w:r w:rsidRPr="00C91C0F">
        <w:rPr>
          <w:rFonts w:ascii="Times New Roman" w:hAnsi="Times New Roman" w:cs="Times New Roman"/>
          <w:b/>
          <w:iCs/>
        </w:rPr>
        <w:instrText xml:space="preserve"> SEQ Tableau \* ARABIC \s 1 </w:instrText>
      </w:r>
      <w:r w:rsidRPr="00C91C0F">
        <w:rPr>
          <w:rFonts w:ascii="Times New Roman" w:hAnsi="Times New Roman" w:cs="Times New Roman"/>
          <w:b/>
          <w:iCs/>
        </w:rPr>
        <w:fldChar w:fldCharType="separate"/>
      </w:r>
      <w:r w:rsidRPr="00C91C0F">
        <w:rPr>
          <w:rFonts w:ascii="Times New Roman" w:hAnsi="Times New Roman" w:cs="Times New Roman"/>
          <w:b/>
          <w:iCs/>
          <w:noProof/>
        </w:rPr>
        <w:t>2</w:t>
      </w:r>
      <w:r w:rsidRPr="00C91C0F">
        <w:rPr>
          <w:rFonts w:ascii="Times New Roman" w:hAnsi="Times New Roman" w:cs="Times New Roman"/>
          <w:b/>
          <w:iCs/>
        </w:rPr>
        <w:fldChar w:fldCharType="end"/>
      </w:r>
      <w:r w:rsidRPr="00C91C0F">
        <w:rPr>
          <w:rFonts w:ascii="Times New Roman" w:hAnsi="Times New Roman" w:cs="Times New Roman"/>
          <w:iCs/>
        </w:rPr>
        <w:t xml:space="preserve"> : Caractéristiques générales de l'entreprise de commercialisation</w:t>
      </w:r>
      <w:bookmarkEnd w:id="13"/>
      <w:bookmarkEnd w:id="14"/>
      <w:bookmarkEnd w:id="15"/>
    </w:p>
    <w:tbl>
      <w:tblPr>
        <w:tblW w:w="497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294"/>
        <w:gridCol w:w="2721"/>
      </w:tblGrid>
      <w:tr w:rsidR="00AB1D5F" w:rsidRPr="00C91C0F" w:rsidTr="00C91C0F">
        <w:trPr>
          <w:trHeight w:val="315"/>
        </w:trPr>
        <w:tc>
          <w:tcPr>
            <w:tcW w:w="3491" w:type="pct"/>
            <w:tcBorders>
              <w:bottom w:val="single" w:sz="12" w:space="0" w:color="666666"/>
            </w:tcBorders>
            <w:shd w:val="clear" w:color="auto" w:fill="auto"/>
            <w:hideMark/>
          </w:tcPr>
          <w:p w:rsidR="00AB1D5F" w:rsidRPr="00C91C0F" w:rsidRDefault="00AB1D5F" w:rsidP="00AB1D5F">
            <w:pPr>
              <w:spacing w:after="0" w:line="360" w:lineRule="auto"/>
              <w:jc w:val="both"/>
              <w:rPr>
                <w:rFonts w:ascii="Times New Roman" w:hAnsi="Times New Roman" w:cs="Times New Roman"/>
                <w:b/>
                <w:bCs/>
                <w:sz w:val="20"/>
                <w:szCs w:val="20"/>
              </w:rPr>
            </w:pPr>
            <w:r w:rsidRPr="00C91C0F">
              <w:rPr>
                <w:rFonts w:ascii="Times New Roman" w:hAnsi="Times New Roman" w:cs="Times New Roman"/>
                <w:b/>
                <w:bCs/>
                <w:sz w:val="20"/>
                <w:szCs w:val="20"/>
              </w:rPr>
              <w:t xml:space="preserve">Caractéristiques générales </w:t>
            </w:r>
          </w:p>
        </w:tc>
        <w:tc>
          <w:tcPr>
            <w:tcW w:w="1509" w:type="pct"/>
            <w:tcBorders>
              <w:bottom w:val="single" w:sz="12" w:space="0" w:color="666666"/>
            </w:tcBorders>
            <w:shd w:val="clear" w:color="auto" w:fill="auto"/>
            <w:noWrap/>
            <w:hideMark/>
          </w:tcPr>
          <w:p w:rsidR="00AB1D5F" w:rsidRPr="00C91C0F" w:rsidRDefault="00AB1D5F" w:rsidP="00AB1D5F">
            <w:pPr>
              <w:spacing w:after="0" w:line="360" w:lineRule="auto"/>
              <w:jc w:val="both"/>
              <w:rPr>
                <w:rFonts w:ascii="Times New Roman" w:hAnsi="Times New Roman" w:cs="Times New Roman"/>
                <w:b/>
                <w:bCs/>
                <w:sz w:val="20"/>
                <w:szCs w:val="20"/>
              </w:rPr>
            </w:pPr>
            <w:r w:rsidRPr="00C91C0F">
              <w:rPr>
                <w:rFonts w:ascii="Times New Roman" w:eastAsia="Times New Roman" w:hAnsi="Times New Roman" w:cs="Times New Roman"/>
                <w:b/>
                <w:bCs/>
                <w:color w:val="000000"/>
                <w:sz w:val="20"/>
                <w:szCs w:val="20"/>
                <w:lang w:eastAsia="fr-FR"/>
              </w:rPr>
              <w:t>N=87</w:t>
            </w:r>
          </w:p>
        </w:tc>
      </w:tr>
      <w:tr w:rsidR="00AB1D5F" w:rsidRPr="00C91C0F" w:rsidTr="00C91C0F">
        <w:trPr>
          <w:trHeight w:val="229"/>
        </w:trPr>
        <w:tc>
          <w:tcPr>
            <w:tcW w:w="3491" w:type="pct"/>
            <w:shd w:val="clear" w:color="auto" w:fill="auto"/>
            <w:hideMark/>
          </w:tcPr>
          <w:p w:rsidR="00AB1D5F" w:rsidRPr="00C91C0F" w:rsidRDefault="00AB1D5F" w:rsidP="00AB1D5F">
            <w:pPr>
              <w:spacing w:after="0" w:line="360" w:lineRule="auto"/>
              <w:jc w:val="both"/>
              <w:rPr>
                <w:rFonts w:ascii="Times New Roman" w:hAnsi="Times New Roman" w:cs="Times New Roman"/>
                <w:bCs/>
                <w:sz w:val="20"/>
                <w:szCs w:val="20"/>
              </w:rPr>
            </w:pPr>
            <w:r w:rsidRPr="00C91C0F">
              <w:rPr>
                <w:rFonts w:ascii="Times New Roman" w:hAnsi="Times New Roman" w:cs="Times New Roman"/>
                <w:bCs/>
                <w:sz w:val="20"/>
                <w:szCs w:val="20"/>
              </w:rPr>
              <w:t>Types de grossistes (%)</w:t>
            </w:r>
          </w:p>
        </w:tc>
        <w:tc>
          <w:tcPr>
            <w:tcW w:w="1509" w:type="pct"/>
            <w:shd w:val="clear" w:color="auto" w:fill="auto"/>
            <w:noWrap/>
            <w:hideMark/>
          </w:tcPr>
          <w:p w:rsidR="00AB1D5F" w:rsidRPr="00C91C0F" w:rsidRDefault="00AB1D5F" w:rsidP="00AB1D5F">
            <w:pPr>
              <w:spacing w:after="0" w:line="360" w:lineRule="auto"/>
              <w:jc w:val="both"/>
              <w:rPr>
                <w:rFonts w:ascii="Times New Roman" w:hAnsi="Times New Roman" w:cs="Times New Roman"/>
                <w:sz w:val="20"/>
                <w:szCs w:val="20"/>
              </w:rPr>
            </w:pPr>
            <w:r w:rsidRPr="00C91C0F">
              <w:rPr>
                <w:rFonts w:ascii="Times New Roman" w:hAnsi="Times New Roman" w:cs="Times New Roman"/>
                <w:sz w:val="20"/>
                <w:szCs w:val="20"/>
              </w:rPr>
              <w:t> </w:t>
            </w:r>
          </w:p>
        </w:tc>
      </w:tr>
      <w:tr w:rsidR="00AB1D5F" w:rsidRPr="00C91C0F" w:rsidTr="00C91C0F">
        <w:trPr>
          <w:trHeight w:val="272"/>
        </w:trPr>
        <w:tc>
          <w:tcPr>
            <w:tcW w:w="3491" w:type="pct"/>
            <w:shd w:val="clear" w:color="auto" w:fill="auto"/>
            <w:hideMark/>
          </w:tcPr>
          <w:p w:rsidR="00AB1D5F" w:rsidRPr="00C91C0F" w:rsidRDefault="00AB1D5F" w:rsidP="00AB1D5F">
            <w:pPr>
              <w:spacing w:after="0" w:line="360" w:lineRule="auto"/>
              <w:ind w:left="708"/>
              <w:jc w:val="both"/>
              <w:rPr>
                <w:rFonts w:ascii="Times New Roman" w:hAnsi="Times New Roman" w:cs="Times New Roman"/>
                <w:bCs/>
                <w:sz w:val="20"/>
                <w:szCs w:val="20"/>
              </w:rPr>
            </w:pPr>
            <w:r w:rsidRPr="00C91C0F">
              <w:rPr>
                <w:rFonts w:ascii="Times New Roman" w:hAnsi="Times New Roman" w:cs="Times New Roman"/>
                <w:bCs/>
                <w:sz w:val="20"/>
                <w:szCs w:val="20"/>
              </w:rPr>
              <w:t>Grossiste dans un marché</w:t>
            </w:r>
          </w:p>
        </w:tc>
        <w:tc>
          <w:tcPr>
            <w:tcW w:w="1509" w:type="pct"/>
            <w:shd w:val="clear" w:color="auto" w:fill="auto"/>
            <w:noWrap/>
            <w:hideMark/>
          </w:tcPr>
          <w:p w:rsidR="00AB1D5F" w:rsidRPr="00C91C0F" w:rsidRDefault="00AB1D5F" w:rsidP="00AB1D5F">
            <w:pPr>
              <w:spacing w:after="0" w:line="360" w:lineRule="auto"/>
              <w:jc w:val="both"/>
              <w:rPr>
                <w:rFonts w:ascii="Times New Roman" w:hAnsi="Times New Roman" w:cs="Times New Roman"/>
                <w:sz w:val="20"/>
                <w:szCs w:val="20"/>
              </w:rPr>
            </w:pPr>
            <w:r w:rsidRPr="00C91C0F">
              <w:rPr>
                <w:rFonts w:ascii="Times New Roman" w:hAnsi="Times New Roman" w:cs="Times New Roman"/>
                <w:sz w:val="20"/>
                <w:szCs w:val="20"/>
              </w:rPr>
              <w:t>85,06</w:t>
            </w:r>
          </w:p>
        </w:tc>
      </w:tr>
      <w:tr w:rsidR="00AB1D5F" w:rsidRPr="00C91C0F" w:rsidTr="00C91C0F">
        <w:trPr>
          <w:trHeight w:val="315"/>
        </w:trPr>
        <w:tc>
          <w:tcPr>
            <w:tcW w:w="3491" w:type="pct"/>
            <w:shd w:val="clear" w:color="auto" w:fill="auto"/>
            <w:hideMark/>
          </w:tcPr>
          <w:p w:rsidR="00AB1D5F" w:rsidRPr="00C91C0F" w:rsidRDefault="00AB1D5F" w:rsidP="00AB1D5F">
            <w:pPr>
              <w:spacing w:after="0" w:line="360" w:lineRule="auto"/>
              <w:ind w:left="708"/>
              <w:jc w:val="both"/>
              <w:rPr>
                <w:rFonts w:ascii="Times New Roman" w:hAnsi="Times New Roman" w:cs="Times New Roman"/>
                <w:bCs/>
                <w:sz w:val="20"/>
                <w:szCs w:val="20"/>
              </w:rPr>
            </w:pPr>
            <w:r w:rsidRPr="00C91C0F">
              <w:rPr>
                <w:rFonts w:ascii="Times New Roman" w:hAnsi="Times New Roman" w:cs="Times New Roman"/>
                <w:bCs/>
                <w:sz w:val="20"/>
                <w:szCs w:val="20"/>
              </w:rPr>
              <w:t>Grossiste en dehors d'un marché</w:t>
            </w:r>
          </w:p>
        </w:tc>
        <w:tc>
          <w:tcPr>
            <w:tcW w:w="1509" w:type="pct"/>
            <w:shd w:val="clear" w:color="auto" w:fill="auto"/>
            <w:noWrap/>
            <w:hideMark/>
          </w:tcPr>
          <w:p w:rsidR="00AB1D5F" w:rsidRPr="00C91C0F" w:rsidRDefault="00AB1D5F" w:rsidP="00AB1D5F">
            <w:pPr>
              <w:spacing w:after="0" w:line="360" w:lineRule="auto"/>
              <w:jc w:val="both"/>
              <w:rPr>
                <w:rFonts w:ascii="Times New Roman" w:hAnsi="Times New Roman" w:cs="Times New Roman"/>
                <w:sz w:val="20"/>
                <w:szCs w:val="20"/>
              </w:rPr>
            </w:pPr>
            <w:r w:rsidRPr="00C91C0F">
              <w:rPr>
                <w:rFonts w:ascii="Times New Roman" w:hAnsi="Times New Roman" w:cs="Times New Roman"/>
                <w:sz w:val="20"/>
                <w:szCs w:val="20"/>
              </w:rPr>
              <w:t>14,94</w:t>
            </w:r>
          </w:p>
        </w:tc>
      </w:tr>
      <w:tr w:rsidR="00AB1D5F" w:rsidRPr="00C91C0F" w:rsidTr="00C91C0F">
        <w:trPr>
          <w:trHeight w:val="323"/>
        </w:trPr>
        <w:tc>
          <w:tcPr>
            <w:tcW w:w="3491"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Cs/>
                <w:color w:val="000000"/>
                <w:sz w:val="20"/>
                <w:szCs w:val="20"/>
                <w:lang w:eastAsia="fr-FR"/>
              </w:rPr>
            </w:pPr>
            <w:r w:rsidRPr="00C91C0F">
              <w:rPr>
                <w:rFonts w:ascii="Times New Roman" w:eastAsia="Times New Roman" w:hAnsi="Times New Roman" w:cs="Times New Roman"/>
                <w:bCs/>
                <w:color w:val="000000"/>
                <w:sz w:val="20"/>
                <w:szCs w:val="20"/>
                <w:lang w:eastAsia="fr-FR"/>
              </w:rPr>
              <w:t xml:space="preserve">Nombre d'étals/points de vente exploités </w:t>
            </w:r>
          </w:p>
        </w:tc>
        <w:tc>
          <w:tcPr>
            <w:tcW w:w="1509"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 xml:space="preserve">1,05   </w:t>
            </w:r>
          </w:p>
        </w:tc>
      </w:tr>
      <w:tr w:rsidR="00AB1D5F" w:rsidRPr="00C91C0F" w:rsidTr="00C91C0F">
        <w:trPr>
          <w:trHeight w:val="323"/>
        </w:trPr>
        <w:tc>
          <w:tcPr>
            <w:tcW w:w="3491"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Cs/>
                <w:color w:val="000000"/>
                <w:sz w:val="20"/>
                <w:szCs w:val="20"/>
                <w:lang w:eastAsia="fr-FR"/>
              </w:rPr>
            </w:pPr>
            <w:r w:rsidRPr="00C91C0F">
              <w:rPr>
                <w:rFonts w:ascii="Times New Roman" w:eastAsia="Times New Roman" w:hAnsi="Times New Roman" w:cs="Times New Roman"/>
                <w:bCs/>
                <w:color w:val="000000"/>
                <w:sz w:val="20"/>
                <w:szCs w:val="20"/>
                <w:lang w:eastAsia="fr-FR"/>
              </w:rPr>
              <w:t xml:space="preserve">Capacité moyenne de vente (kg de céréales/jour) </w:t>
            </w:r>
          </w:p>
        </w:tc>
        <w:tc>
          <w:tcPr>
            <w:tcW w:w="1509"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 xml:space="preserve">3 682,36   </w:t>
            </w:r>
          </w:p>
        </w:tc>
      </w:tr>
      <w:tr w:rsidR="00AB1D5F" w:rsidRPr="00C91C0F" w:rsidTr="00C91C0F">
        <w:trPr>
          <w:trHeight w:val="323"/>
        </w:trPr>
        <w:tc>
          <w:tcPr>
            <w:tcW w:w="3491"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bCs/>
                <w:color w:val="000000"/>
                <w:sz w:val="20"/>
                <w:szCs w:val="20"/>
                <w:lang w:eastAsia="fr-FR"/>
              </w:rPr>
            </w:pPr>
            <w:r w:rsidRPr="00C91C0F">
              <w:rPr>
                <w:rFonts w:ascii="Times New Roman" w:eastAsia="Times New Roman" w:hAnsi="Times New Roman" w:cs="Times New Roman"/>
                <w:bCs/>
                <w:color w:val="000000"/>
                <w:sz w:val="20"/>
                <w:szCs w:val="20"/>
                <w:lang w:eastAsia="fr-FR"/>
              </w:rPr>
              <w:t>Forme de l'entreprise  (%):</w:t>
            </w:r>
          </w:p>
        </w:tc>
        <w:tc>
          <w:tcPr>
            <w:tcW w:w="1509"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 </w:t>
            </w:r>
          </w:p>
        </w:tc>
      </w:tr>
      <w:tr w:rsidR="00AB1D5F" w:rsidRPr="00C91C0F" w:rsidTr="00C91C0F">
        <w:trPr>
          <w:trHeight w:val="323"/>
        </w:trPr>
        <w:tc>
          <w:tcPr>
            <w:tcW w:w="3491" w:type="pct"/>
            <w:shd w:val="clear" w:color="auto" w:fill="auto"/>
            <w:hideMark/>
          </w:tcPr>
          <w:p w:rsidR="00AB1D5F" w:rsidRPr="00C91C0F" w:rsidRDefault="00AB1D5F" w:rsidP="00AB1D5F">
            <w:pPr>
              <w:spacing w:after="0" w:line="240" w:lineRule="auto"/>
              <w:ind w:firstLineChars="400" w:firstLine="800"/>
              <w:rPr>
                <w:rFonts w:ascii="Times New Roman" w:eastAsia="Times New Roman" w:hAnsi="Times New Roman" w:cs="Times New Roman"/>
                <w:bCs/>
                <w:sz w:val="20"/>
                <w:szCs w:val="20"/>
                <w:lang w:eastAsia="fr-FR"/>
              </w:rPr>
            </w:pPr>
            <w:r w:rsidRPr="00C91C0F">
              <w:rPr>
                <w:rFonts w:ascii="Times New Roman" w:eastAsia="Times New Roman" w:hAnsi="Times New Roman" w:cs="Times New Roman"/>
                <w:bCs/>
                <w:sz w:val="20"/>
                <w:szCs w:val="20"/>
                <w:lang w:eastAsia="fr-FR"/>
              </w:rPr>
              <w:t xml:space="preserve">Part des entreprises individuelles </w:t>
            </w:r>
          </w:p>
        </w:tc>
        <w:tc>
          <w:tcPr>
            <w:tcW w:w="1509"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83,9</w:t>
            </w:r>
          </w:p>
        </w:tc>
      </w:tr>
      <w:tr w:rsidR="00AB1D5F" w:rsidRPr="00C91C0F" w:rsidTr="00C91C0F">
        <w:trPr>
          <w:trHeight w:val="323"/>
        </w:trPr>
        <w:tc>
          <w:tcPr>
            <w:tcW w:w="3491" w:type="pct"/>
            <w:shd w:val="clear" w:color="auto" w:fill="auto"/>
            <w:hideMark/>
          </w:tcPr>
          <w:p w:rsidR="00AB1D5F" w:rsidRPr="00C91C0F" w:rsidRDefault="00AB1D5F" w:rsidP="00AB1D5F">
            <w:pPr>
              <w:spacing w:after="0" w:line="240" w:lineRule="auto"/>
              <w:ind w:firstLineChars="400" w:firstLine="800"/>
              <w:rPr>
                <w:rFonts w:ascii="Times New Roman" w:eastAsia="Times New Roman" w:hAnsi="Times New Roman" w:cs="Times New Roman"/>
                <w:bCs/>
                <w:sz w:val="20"/>
                <w:szCs w:val="20"/>
                <w:lang w:eastAsia="fr-FR"/>
              </w:rPr>
            </w:pPr>
            <w:r w:rsidRPr="00C91C0F">
              <w:rPr>
                <w:rFonts w:ascii="Times New Roman" w:eastAsia="Times New Roman" w:hAnsi="Times New Roman" w:cs="Times New Roman"/>
                <w:bCs/>
                <w:sz w:val="20"/>
                <w:szCs w:val="20"/>
                <w:lang w:eastAsia="fr-FR"/>
              </w:rPr>
              <w:t xml:space="preserve">Part des entreprises collectives </w:t>
            </w:r>
          </w:p>
        </w:tc>
        <w:tc>
          <w:tcPr>
            <w:tcW w:w="1509"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4,6</w:t>
            </w:r>
          </w:p>
        </w:tc>
      </w:tr>
      <w:tr w:rsidR="00AB1D5F" w:rsidRPr="00C91C0F" w:rsidTr="00C91C0F">
        <w:trPr>
          <w:trHeight w:val="337"/>
        </w:trPr>
        <w:tc>
          <w:tcPr>
            <w:tcW w:w="3491" w:type="pct"/>
            <w:shd w:val="clear" w:color="auto" w:fill="auto"/>
            <w:hideMark/>
          </w:tcPr>
          <w:p w:rsidR="00AB1D5F" w:rsidRPr="00C91C0F" w:rsidRDefault="00AB1D5F" w:rsidP="00AB1D5F">
            <w:pPr>
              <w:spacing w:after="0" w:line="240" w:lineRule="auto"/>
              <w:ind w:firstLineChars="400" w:firstLine="800"/>
              <w:rPr>
                <w:rFonts w:ascii="Times New Roman" w:eastAsia="Times New Roman" w:hAnsi="Times New Roman" w:cs="Times New Roman"/>
                <w:bCs/>
                <w:sz w:val="20"/>
                <w:szCs w:val="20"/>
                <w:lang w:eastAsia="fr-FR"/>
              </w:rPr>
            </w:pPr>
            <w:r w:rsidRPr="00C91C0F">
              <w:rPr>
                <w:rFonts w:ascii="Times New Roman" w:eastAsia="Times New Roman" w:hAnsi="Times New Roman" w:cs="Times New Roman"/>
                <w:bCs/>
                <w:sz w:val="20"/>
                <w:szCs w:val="20"/>
                <w:lang w:eastAsia="fr-FR"/>
              </w:rPr>
              <w:t xml:space="preserve">Part des entreprises familiales </w:t>
            </w:r>
          </w:p>
        </w:tc>
        <w:tc>
          <w:tcPr>
            <w:tcW w:w="1509"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11,5</w:t>
            </w:r>
          </w:p>
        </w:tc>
      </w:tr>
      <w:tr w:rsidR="00AB1D5F" w:rsidRPr="00C91C0F" w:rsidTr="00C91C0F">
        <w:trPr>
          <w:trHeight w:val="633"/>
        </w:trPr>
        <w:tc>
          <w:tcPr>
            <w:tcW w:w="3491" w:type="pct"/>
            <w:shd w:val="clear" w:color="auto" w:fill="auto"/>
            <w:hideMark/>
          </w:tcPr>
          <w:p w:rsidR="00AB1D5F" w:rsidRPr="00C91C0F" w:rsidRDefault="00AB1D5F" w:rsidP="00AB1D5F">
            <w:pPr>
              <w:spacing w:after="0" w:line="360" w:lineRule="auto"/>
              <w:jc w:val="both"/>
              <w:rPr>
                <w:rFonts w:ascii="Times New Roman" w:hAnsi="Times New Roman" w:cs="Times New Roman"/>
                <w:bCs/>
                <w:sz w:val="20"/>
                <w:szCs w:val="20"/>
              </w:rPr>
            </w:pPr>
            <w:r w:rsidRPr="00C91C0F">
              <w:rPr>
                <w:rFonts w:ascii="Times New Roman" w:hAnsi="Times New Roman" w:cs="Times New Roman"/>
                <w:bCs/>
                <w:sz w:val="20"/>
                <w:szCs w:val="20"/>
              </w:rPr>
              <w:t xml:space="preserve">Part des commerçants qui ont des activités non agricoles autres que celles de l'entreprise de commercialisation sur la période 2014/2015 (%) </w:t>
            </w:r>
          </w:p>
        </w:tc>
        <w:tc>
          <w:tcPr>
            <w:tcW w:w="1509" w:type="pct"/>
            <w:shd w:val="clear" w:color="auto" w:fill="auto"/>
            <w:noWrap/>
            <w:hideMark/>
          </w:tcPr>
          <w:p w:rsidR="00AB1D5F" w:rsidRPr="00C91C0F" w:rsidRDefault="00AB1D5F" w:rsidP="00AB1D5F">
            <w:pPr>
              <w:spacing w:after="0" w:line="360" w:lineRule="auto"/>
              <w:jc w:val="both"/>
              <w:rPr>
                <w:rFonts w:ascii="Times New Roman" w:hAnsi="Times New Roman" w:cs="Times New Roman"/>
                <w:sz w:val="20"/>
                <w:szCs w:val="20"/>
              </w:rPr>
            </w:pPr>
            <w:r w:rsidRPr="00C91C0F">
              <w:rPr>
                <w:rFonts w:ascii="Times New Roman" w:hAnsi="Times New Roman" w:cs="Times New Roman"/>
                <w:sz w:val="20"/>
                <w:szCs w:val="20"/>
              </w:rPr>
              <w:t>8,05</w:t>
            </w:r>
          </w:p>
        </w:tc>
      </w:tr>
      <w:tr w:rsidR="00AB1D5F" w:rsidRPr="00C91C0F" w:rsidTr="00C91C0F">
        <w:trPr>
          <w:trHeight w:val="315"/>
        </w:trPr>
        <w:tc>
          <w:tcPr>
            <w:tcW w:w="3491" w:type="pct"/>
            <w:shd w:val="clear" w:color="auto" w:fill="auto"/>
            <w:hideMark/>
          </w:tcPr>
          <w:p w:rsidR="00AB1D5F" w:rsidRPr="00C91C0F" w:rsidRDefault="00AB1D5F" w:rsidP="00AB1D5F">
            <w:pPr>
              <w:spacing w:after="0" w:line="360" w:lineRule="auto"/>
              <w:jc w:val="both"/>
              <w:rPr>
                <w:rFonts w:ascii="Times New Roman" w:hAnsi="Times New Roman" w:cs="Times New Roman"/>
                <w:bCs/>
                <w:sz w:val="20"/>
                <w:szCs w:val="20"/>
              </w:rPr>
            </w:pPr>
            <w:r w:rsidRPr="00C91C0F">
              <w:rPr>
                <w:rFonts w:ascii="Times New Roman" w:hAnsi="Times New Roman" w:cs="Times New Roman"/>
                <w:bCs/>
                <w:sz w:val="20"/>
                <w:szCs w:val="20"/>
              </w:rPr>
              <w:t xml:space="preserve">Part des commerçants qui ont des activités non agricoles autres que celles de l'entreprise de commercialisation en 2017/2018 (%) </w:t>
            </w:r>
          </w:p>
        </w:tc>
        <w:tc>
          <w:tcPr>
            <w:tcW w:w="1509" w:type="pct"/>
            <w:shd w:val="clear" w:color="auto" w:fill="auto"/>
            <w:noWrap/>
            <w:hideMark/>
          </w:tcPr>
          <w:p w:rsidR="00AB1D5F" w:rsidRPr="00C91C0F" w:rsidRDefault="00AB1D5F" w:rsidP="00AB1D5F">
            <w:pPr>
              <w:spacing w:after="0" w:line="360" w:lineRule="auto"/>
              <w:jc w:val="both"/>
              <w:rPr>
                <w:rFonts w:ascii="Times New Roman" w:hAnsi="Times New Roman" w:cs="Times New Roman"/>
                <w:sz w:val="20"/>
                <w:szCs w:val="20"/>
              </w:rPr>
            </w:pPr>
            <w:r w:rsidRPr="00C91C0F">
              <w:rPr>
                <w:rFonts w:ascii="Times New Roman" w:hAnsi="Times New Roman" w:cs="Times New Roman"/>
                <w:sz w:val="20"/>
                <w:szCs w:val="20"/>
              </w:rPr>
              <w:t>9,20</w:t>
            </w:r>
          </w:p>
        </w:tc>
      </w:tr>
    </w:tbl>
    <w:p w:rsidR="00AB1D5F" w:rsidRPr="00B423E0" w:rsidRDefault="00AB1D5F" w:rsidP="00AB1D5F">
      <w:pPr>
        <w:rPr>
          <w:rFonts w:ascii="Times New Roman" w:hAnsi="Times New Roman" w:cs="Times New Roman"/>
          <w:b/>
          <w:sz w:val="28"/>
          <w:szCs w:val="28"/>
        </w:rPr>
      </w:pPr>
      <w:r w:rsidRPr="00B423E0">
        <w:rPr>
          <w:rFonts w:ascii="Times New Roman" w:hAnsi="Times New Roman" w:cs="Times New Roman"/>
        </w:rPr>
        <w:t>Source : Enquête PAPA, 2018</w:t>
      </w:r>
    </w:p>
    <w:p w:rsidR="00AB1D5F" w:rsidRPr="00385576" w:rsidRDefault="009B6AC1" w:rsidP="00AB1D5F">
      <w:pPr>
        <w:pStyle w:val="RapportPAPA0"/>
        <w:rPr>
          <w:sz w:val="22"/>
        </w:rPr>
      </w:pPr>
      <w:r>
        <w:rPr>
          <w:sz w:val="22"/>
        </w:rPr>
        <w:t>Le tableau </w:t>
      </w:r>
      <w:r w:rsidR="00AB1D5F" w:rsidRPr="00385576">
        <w:rPr>
          <w:sz w:val="22"/>
        </w:rPr>
        <w:t>2 présente aussi les différentes formes existantes d’entreprise de vente en gros de céréales sèches. Elles sont en effet majoritairement composées d’entreprises individuelles (84%) et très peu d’entreprises collectives et familiales. Néanmoins, la formalisation juridique de ces entreprises est importante. Depuis leur année de démarrage 63,22% de ces entreprises ont eu des statuts juridiques formels, elles sont au taux de 79,31% durant la</w:t>
      </w:r>
      <w:r>
        <w:rPr>
          <w:sz w:val="22"/>
        </w:rPr>
        <w:t xml:space="preserve"> période 2017-2018. La figure </w:t>
      </w:r>
      <w:r w:rsidR="00AB1D5F" w:rsidRPr="00385576">
        <w:rPr>
          <w:sz w:val="22"/>
        </w:rPr>
        <w:t xml:space="preserve">2 illustre les différents statuts juridiques auxquels elles sont inscrites en 2018. </w:t>
      </w:r>
    </w:p>
    <w:p w:rsidR="00AB1D5F" w:rsidRPr="00B423E0" w:rsidRDefault="00AB1D5F" w:rsidP="00AB1D5F">
      <w:pPr>
        <w:spacing w:line="360" w:lineRule="auto"/>
        <w:jc w:val="both"/>
        <w:rPr>
          <w:rFonts w:ascii="Times New Roman" w:hAnsi="Times New Roman" w:cs="Times New Roman"/>
          <w:sz w:val="24"/>
          <w:szCs w:val="24"/>
        </w:rPr>
      </w:pPr>
      <w:r w:rsidRPr="00B423E0">
        <w:rPr>
          <w:rFonts w:ascii="Times New Roman" w:hAnsi="Times New Roman" w:cs="Times New Roman"/>
          <w:noProof/>
          <w:lang w:eastAsia="fr-FR"/>
        </w:rPr>
        <w:drawing>
          <wp:inline distT="0" distB="0" distL="0" distR="0" wp14:anchorId="7594CEB3" wp14:editId="68CAAE9F">
            <wp:extent cx="5661660" cy="2583180"/>
            <wp:effectExtent l="0" t="0" r="15240" b="7620"/>
            <wp:docPr id="4"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1D5F" w:rsidRPr="00B423E0" w:rsidRDefault="00AB1D5F" w:rsidP="00AB1D5F">
      <w:pPr>
        <w:spacing w:after="0" w:line="360" w:lineRule="auto"/>
        <w:jc w:val="both"/>
        <w:rPr>
          <w:rFonts w:ascii="Times New Roman" w:hAnsi="Times New Roman" w:cs="Times New Roman"/>
          <w:i/>
          <w:iCs/>
          <w:szCs w:val="24"/>
        </w:rPr>
      </w:pPr>
      <w:bookmarkStart w:id="16" w:name="_Toc1417014"/>
      <w:bookmarkStart w:id="17" w:name="_Toc1484534"/>
      <w:bookmarkStart w:id="18" w:name="_Toc3549251"/>
      <w:bookmarkStart w:id="19" w:name="_Toc34828016"/>
      <w:r w:rsidRPr="00B423E0">
        <w:rPr>
          <w:rFonts w:ascii="Times New Roman" w:hAnsi="Times New Roman" w:cs="Times New Roman"/>
          <w:b/>
          <w:iCs/>
          <w:szCs w:val="24"/>
        </w:rPr>
        <w:t xml:space="preserve">Figure </w:t>
      </w:r>
      <w:r w:rsidRPr="00B423E0">
        <w:rPr>
          <w:rFonts w:ascii="Times New Roman" w:hAnsi="Times New Roman" w:cs="Times New Roman"/>
          <w:b/>
          <w:iCs/>
          <w:szCs w:val="24"/>
        </w:rPr>
        <w:fldChar w:fldCharType="begin"/>
      </w:r>
      <w:r w:rsidRPr="00B423E0">
        <w:rPr>
          <w:rFonts w:ascii="Times New Roman" w:hAnsi="Times New Roman" w:cs="Times New Roman"/>
          <w:b/>
          <w:iCs/>
          <w:szCs w:val="24"/>
        </w:rPr>
        <w:instrText xml:space="preserve"> SEQ Figure \* ARABIC \s 1 </w:instrText>
      </w:r>
      <w:r w:rsidRPr="00B423E0">
        <w:rPr>
          <w:rFonts w:ascii="Times New Roman" w:hAnsi="Times New Roman" w:cs="Times New Roman"/>
          <w:b/>
          <w:iCs/>
          <w:szCs w:val="24"/>
        </w:rPr>
        <w:fldChar w:fldCharType="separate"/>
      </w:r>
      <w:r w:rsidRPr="00B423E0">
        <w:rPr>
          <w:rFonts w:ascii="Times New Roman" w:hAnsi="Times New Roman" w:cs="Times New Roman"/>
          <w:b/>
          <w:iCs/>
          <w:noProof/>
          <w:szCs w:val="24"/>
        </w:rPr>
        <w:t>2</w:t>
      </w:r>
      <w:r w:rsidRPr="00B423E0">
        <w:rPr>
          <w:rFonts w:ascii="Times New Roman" w:hAnsi="Times New Roman" w:cs="Times New Roman"/>
          <w:b/>
          <w:iCs/>
          <w:szCs w:val="24"/>
        </w:rPr>
        <w:fldChar w:fldCharType="end"/>
      </w:r>
      <w:r w:rsidRPr="00B423E0">
        <w:rPr>
          <w:rFonts w:ascii="Times New Roman" w:hAnsi="Times New Roman" w:cs="Times New Roman"/>
          <w:i/>
          <w:iCs/>
          <w:szCs w:val="24"/>
        </w:rPr>
        <w:t xml:space="preserve"> : </w:t>
      </w:r>
      <w:r w:rsidRPr="00B423E0">
        <w:rPr>
          <w:rFonts w:ascii="Times New Roman" w:hAnsi="Times New Roman" w:cs="Times New Roman"/>
          <w:iCs/>
          <w:szCs w:val="24"/>
        </w:rPr>
        <w:t>Statut juridique des entreprises de vente en gros de céréales déclarées</w:t>
      </w:r>
      <w:bookmarkEnd w:id="16"/>
      <w:bookmarkEnd w:id="17"/>
      <w:bookmarkEnd w:id="18"/>
      <w:bookmarkEnd w:id="19"/>
    </w:p>
    <w:p w:rsidR="00AB1D5F" w:rsidRPr="00B423E0" w:rsidRDefault="00AB1D5F" w:rsidP="00AB1D5F">
      <w:pPr>
        <w:spacing w:after="0" w:line="360" w:lineRule="auto"/>
        <w:jc w:val="both"/>
        <w:rPr>
          <w:rFonts w:ascii="Times New Roman" w:hAnsi="Times New Roman" w:cs="Times New Roman"/>
          <w:b/>
          <w:sz w:val="20"/>
        </w:rPr>
      </w:pPr>
      <w:r w:rsidRPr="00B423E0">
        <w:rPr>
          <w:rFonts w:ascii="Times New Roman" w:hAnsi="Times New Roman" w:cs="Times New Roman"/>
          <w:szCs w:val="24"/>
        </w:rPr>
        <w:t>Source : Enquêtes PAPA, 2018</w:t>
      </w:r>
    </w:p>
    <w:p w:rsidR="00AB1D5F" w:rsidRPr="00385576" w:rsidRDefault="009B6AC1" w:rsidP="00AB1D5F">
      <w:pPr>
        <w:pStyle w:val="RapportPAPA0"/>
        <w:rPr>
          <w:sz w:val="22"/>
        </w:rPr>
      </w:pPr>
      <w:r>
        <w:rPr>
          <w:sz w:val="22"/>
        </w:rPr>
        <w:lastRenderedPageBreak/>
        <w:t xml:space="preserve">Le tableau </w:t>
      </w:r>
      <w:r w:rsidR="00AB1D5F" w:rsidRPr="00385576">
        <w:rPr>
          <w:sz w:val="22"/>
        </w:rPr>
        <w:t>3 présente la situation d’accessibilité des infrastructures pour les entreprises de commercialisation en gros de céréales sèches. Elles sont toutes proches de routes praticables bitumées qui sont soit une route nationale, soit une route départementale ou une route nationale. Il s’agit en général de routes d’un état de praticabilité bon ou passable, située en milieu urbain. De l’année de démarrage à 2018, en moyenne les distances séparant le lieu d’établissement de et du marché en gros le plus pros proche son</w:t>
      </w:r>
      <w:r w:rsidR="00C91C0F" w:rsidRPr="00385576">
        <w:rPr>
          <w:sz w:val="22"/>
        </w:rPr>
        <w:t xml:space="preserve">t quasiment restées les mêmes. </w:t>
      </w:r>
    </w:p>
    <w:p w:rsidR="00AB1D5F" w:rsidRPr="00385576" w:rsidRDefault="00AB1D5F" w:rsidP="00AB1D5F">
      <w:pPr>
        <w:spacing w:after="200" w:line="240" w:lineRule="auto"/>
        <w:rPr>
          <w:rFonts w:ascii="Times New Roman" w:hAnsi="Times New Roman" w:cs="Times New Roman"/>
          <w:iCs/>
          <w:szCs w:val="18"/>
        </w:rPr>
      </w:pPr>
      <w:bookmarkStart w:id="20" w:name="_Toc1484423"/>
      <w:bookmarkStart w:id="21" w:name="_Toc3549370"/>
      <w:bookmarkStart w:id="22" w:name="_Toc34827998"/>
      <w:r w:rsidRPr="00385576">
        <w:rPr>
          <w:rFonts w:ascii="Times New Roman" w:hAnsi="Times New Roman" w:cs="Times New Roman"/>
          <w:b/>
          <w:iCs/>
          <w:szCs w:val="18"/>
        </w:rPr>
        <w:t xml:space="preserve">Tableau </w:t>
      </w:r>
      <w:r w:rsidRPr="00385576">
        <w:rPr>
          <w:rFonts w:ascii="Times New Roman" w:hAnsi="Times New Roman" w:cs="Times New Roman"/>
          <w:b/>
          <w:iCs/>
          <w:szCs w:val="18"/>
        </w:rPr>
        <w:fldChar w:fldCharType="begin"/>
      </w:r>
      <w:r w:rsidRPr="00385576">
        <w:rPr>
          <w:rFonts w:ascii="Times New Roman" w:hAnsi="Times New Roman" w:cs="Times New Roman"/>
          <w:b/>
          <w:iCs/>
          <w:szCs w:val="18"/>
        </w:rPr>
        <w:instrText xml:space="preserve"> SEQ Tableau \* ARABIC \s 1 </w:instrText>
      </w:r>
      <w:r w:rsidRPr="00385576">
        <w:rPr>
          <w:rFonts w:ascii="Times New Roman" w:hAnsi="Times New Roman" w:cs="Times New Roman"/>
          <w:b/>
          <w:iCs/>
          <w:szCs w:val="18"/>
        </w:rPr>
        <w:fldChar w:fldCharType="separate"/>
      </w:r>
      <w:r w:rsidRPr="00385576">
        <w:rPr>
          <w:rFonts w:ascii="Times New Roman" w:hAnsi="Times New Roman" w:cs="Times New Roman"/>
          <w:b/>
          <w:iCs/>
          <w:noProof/>
          <w:szCs w:val="18"/>
        </w:rPr>
        <w:t>3</w:t>
      </w:r>
      <w:r w:rsidRPr="00385576">
        <w:rPr>
          <w:rFonts w:ascii="Times New Roman" w:hAnsi="Times New Roman" w:cs="Times New Roman"/>
          <w:b/>
          <w:iCs/>
          <w:szCs w:val="18"/>
        </w:rPr>
        <w:fldChar w:fldCharType="end"/>
      </w:r>
      <w:r w:rsidRPr="00385576">
        <w:rPr>
          <w:rFonts w:ascii="Times New Roman" w:hAnsi="Times New Roman" w:cs="Times New Roman"/>
          <w:iCs/>
          <w:szCs w:val="18"/>
        </w:rPr>
        <w:t> : Accès aux infrastructures</w:t>
      </w:r>
      <w:bookmarkEnd w:id="20"/>
      <w:bookmarkEnd w:id="21"/>
      <w:bookmarkEnd w:id="22"/>
      <w:r w:rsidRPr="00385576">
        <w:rPr>
          <w:rFonts w:ascii="Times New Roman" w:hAnsi="Times New Roman" w:cs="Times New Roman"/>
          <w:iCs/>
          <w:szCs w:val="18"/>
        </w:rPr>
        <w:t xml:space="preser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751"/>
        <w:gridCol w:w="1584"/>
        <w:gridCol w:w="1727"/>
      </w:tblGrid>
      <w:tr w:rsidR="00AB1D5F" w:rsidRPr="00C91C0F" w:rsidTr="00AB1D5F">
        <w:trPr>
          <w:trHeight w:val="246"/>
        </w:trPr>
        <w:tc>
          <w:tcPr>
            <w:tcW w:w="3173" w:type="pct"/>
            <w:tcBorders>
              <w:bottom w:val="single" w:sz="12" w:space="0" w:color="666666"/>
            </w:tcBorders>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
                <w:bCs/>
                <w:color w:val="000000"/>
                <w:sz w:val="20"/>
                <w:szCs w:val="20"/>
                <w:lang w:eastAsia="fr-FR"/>
              </w:rPr>
              <w:t>Infrastructures (N=87)</w:t>
            </w:r>
          </w:p>
        </w:tc>
        <w:tc>
          <w:tcPr>
            <w:tcW w:w="874" w:type="pct"/>
            <w:tcBorders>
              <w:bottom w:val="single" w:sz="12" w:space="0" w:color="666666"/>
            </w:tcBorders>
            <w:shd w:val="clear" w:color="auto" w:fill="auto"/>
            <w:noWrap/>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
                <w:bCs/>
                <w:color w:val="000000"/>
                <w:sz w:val="20"/>
                <w:szCs w:val="20"/>
                <w:lang w:eastAsia="fr-FR"/>
              </w:rPr>
              <w:t xml:space="preserve">Démarrage </w:t>
            </w:r>
          </w:p>
        </w:tc>
        <w:tc>
          <w:tcPr>
            <w:tcW w:w="953" w:type="pct"/>
            <w:tcBorders>
              <w:bottom w:val="single" w:sz="12" w:space="0" w:color="666666"/>
            </w:tcBorders>
            <w:shd w:val="clear" w:color="auto" w:fill="auto"/>
            <w:noWrap/>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
                <w:bCs/>
                <w:color w:val="000000"/>
                <w:sz w:val="20"/>
                <w:szCs w:val="20"/>
                <w:lang w:eastAsia="fr-FR"/>
              </w:rPr>
              <w:t>2018</w:t>
            </w:r>
          </w:p>
        </w:tc>
      </w:tr>
      <w:tr w:rsidR="00AB1D5F" w:rsidRPr="00C91C0F" w:rsidTr="00AB1D5F">
        <w:trPr>
          <w:trHeight w:val="246"/>
        </w:trPr>
        <w:tc>
          <w:tcPr>
            <w:tcW w:w="3173" w:type="pct"/>
            <w:shd w:val="clear" w:color="auto" w:fill="auto"/>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
                <w:bCs/>
                <w:color w:val="000000"/>
                <w:sz w:val="20"/>
                <w:szCs w:val="20"/>
                <w:lang w:eastAsia="fr-FR"/>
              </w:rPr>
              <w:t>Type de route praticable la plus proche de l'activité (%)</w:t>
            </w:r>
          </w:p>
        </w:tc>
        <w:tc>
          <w:tcPr>
            <w:tcW w:w="874" w:type="pct"/>
            <w:shd w:val="clear" w:color="auto" w:fill="auto"/>
            <w:noWrap/>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p>
        </w:tc>
        <w:tc>
          <w:tcPr>
            <w:tcW w:w="953" w:type="pct"/>
            <w:shd w:val="clear" w:color="auto" w:fill="auto"/>
            <w:noWrap/>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p>
        </w:tc>
      </w:tr>
      <w:tr w:rsidR="00AB1D5F" w:rsidRPr="00C91C0F" w:rsidTr="00AB1D5F">
        <w:trPr>
          <w:trHeight w:val="246"/>
        </w:trPr>
        <w:tc>
          <w:tcPr>
            <w:tcW w:w="3173"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Cs/>
                <w:color w:val="000000"/>
                <w:sz w:val="20"/>
                <w:szCs w:val="20"/>
                <w:lang w:eastAsia="fr-FR"/>
              </w:rPr>
              <w:t>Route nationale</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36,78</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35,63</w:t>
            </w:r>
          </w:p>
        </w:tc>
      </w:tr>
      <w:tr w:rsidR="00AB1D5F" w:rsidRPr="00C91C0F" w:rsidTr="00AB1D5F">
        <w:trPr>
          <w:trHeight w:val="246"/>
        </w:trPr>
        <w:tc>
          <w:tcPr>
            <w:tcW w:w="3173"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Cs/>
                <w:color w:val="000000"/>
                <w:sz w:val="20"/>
                <w:szCs w:val="20"/>
                <w:lang w:eastAsia="fr-FR"/>
              </w:rPr>
              <w:t>Route départementale</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28,74</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28,74</w:t>
            </w:r>
          </w:p>
        </w:tc>
      </w:tr>
      <w:tr w:rsidR="00AB1D5F" w:rsidRPr="00C91C0F" w:rsidTr="00AB1D5F">
        <w:trPr>
          <w:trHeight w:val="246"/>
        </w:trPr>
        <w:tc>
          <w:tcPr>
            <w:tcW w:w="3173"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Cs/>
                <w:color w:val="000000"/>
                <w:sz w:val="20"/>
                <w:szCs w:val="20"/>
                <w:lang w:eastAsia="fr-FR"/>
              </w:rPr>
              <w:t>Route bitumée urbaine (rue)</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34,48</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35,63</w:t>
            </w:r>
          </w:p>
        </w:tc>
      </w:tr>
      <w:tr w:rsidR="00AB1D5F" w:rsidRPr="00C91C0F" w:rsidTr="00AB1D5F">
        <w:trPr>
          <w:trHeight w:val="246"/>
        </w:trPr>
        <w:tc>
          <w:tcPr>
            <w:tcW w:w="3173"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Cs/>
                <w:color w:val="000000"/>
                <w:sz w:val="20"/>
                <w:szCs w:val="20"/>
                <w:lang w:eastAsia="fr-FR"/>
              </w:rPr>
              <w:t>Route non bitumée praticable (rue)</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w:t>
            </w:r>
          </w:p>
        </w:tc>
      </w:tr>
      <w:tr w:rsidR="00AB1D5F" w:rsidRPr="00C91C0F" w:rsidTr="00AB1D5F">
        <w:trPr>
          <w:trHeight w:val="246"/>
        </w:trPr>
        <w:tc>
          <w:tcPr>
            <w:tcW w:w="3173"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Cs/>
                <w:color w:val="000000"/>
                <w:sz w:val="20"/>
                <w:szCs w:val="20"/>
                <w:lang w:eastAsia="fr-FR"/>
              </w:rPr>
              <w:t>Route rurale bitumée (non praticable)</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w:t>
            </w:r>
          </w:p>
        </w:tc>
      </w:tr>
      <w:tr w:rsidR="00AB1D5F" w:rsidRPr="00C91C0F" w:rsidTr="00AB1D5F">
        <w:trPr>
          <w:trHeight w:val="246"/>
        </w:trPr>
        <w:tc>
          <w:tcPr>
            <w:tcW w:w="3173"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Cs/>
                <w:color w:val="000000"/>
                <w:sz w:val="20"/>
                <w:szCs w:val="20"/>
                <w:lang w:eastAsia="fr-FR"/>
              </w:rPr>
              <w:t>Piste de production (recouverte de gravillon)</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w:t>
            </w:r>
          </w:p>
        </w:tc>
      </w:tr>
      <w:tr w:rsidR="00AB1D5F" w:rsidRPr="00C91C0F" w:rsidTr="00AB1D5F">
        <w:trPr>
          <w:trHeight w:val="246"/>
        </w:trPr>
        <w:tc>
          <w:tcPr>
            <w:tcW w:w="3173"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Cs/>
                <w:color w:val="000000"/>
                <w:sz w:val="20"/>
                <w:szCs w:val="20"/>
                <w:lang w:eastAsia="fr-FR"/>
              </w:rPr>
              <w:t>Piste rurale praticable (sans gravillon)</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w:t>
            </w:r>
          </w:p>
        </w:tc>
      </w:tr>
      <w:tr w:rsidR="00AB1D5F" w:rsidRPr="00C91C0F" w:rsidTr="00AB1D5F">
        <w:trPr>
          <w:trHeight w:val="246"/>
        </w:trPr>
        <w:tc>
          <w:tcPr>
            <w:tcW w:w="3173"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
                <w:bCs/>
                <w:color w:val="000000"/>
                <w:sz w:val="20"/>
                <w:szCs w:val="20"/>
                <w:lang w:eastAsia="fr-FR"/>
              </w:rPr>
              <w:t>L'état de la route praticable  la plus proche au démarrage (%)</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 </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 </w:t>
            </w:r>
          </w:p>
        </w:tc>
      </w:tr>
      <w:tr w:rsidR="00AB1D5F" w:rsidRPr="00C91C0F" w:rsidTr="00AB1D5F">
        <w:trPr>
          <w:trHeight w:val="246"/>
        </w:trPr>
        <w:tc>
          <w:tcPr>
            <w:tcW w:w="3173"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Cs/>
                <w:color w:val="000000"/>
                <w:sz w:val="20"/>
                <w:szCs w:val="20"/>
                <w:lang w:eastAsia="fr-FR"/>
              </w:rPr>
              <w:t>Bon</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77,01</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82,76</w:t>
            </w:r>
          </w:p>
        </w:tc>
      </w:tr>
      <w:tr w:rsidR="00AB1D5F" w:rsidRPr="00C91C0F" w:rsidTr="00AB1D5F">
        <w:trPr>
          <w:trHeight w:val="246"/>
        </w:trPr>
        <w:tc>
          <w:tcPr>
            <w:tcW w:w="3173"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Cs/>
                <w:color w:val="000000"/>
                <w:sz w:val="20"/>
                <w:szCs w:val="20"/>
                <w:lang w:eastAsia="fr-FR"/>
              </w:rPr>
              <w:t>Passable</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20,69</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14,94</w:t>
            </w:r>
          </w:p>
        </w:tc>
      </w:tr>
      <w:tr w:rsidR="00AB1D5F" w:rsidRPr="00C91C0F" w:rsidTr="00AB1D5F">
        <w:trPr>
          <w:trHeight w:val="246"/>
        </w:trPr>
        <w:tc>
          <w:tcPr>
            <w:tcW w:w="3173"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Cs/>
                <w:color w:val="000000"/>
                <w:sz w:val="20"/>
                <w:szCs w:val="20"/>
                <w:lang w:eastAsia="fr-FR"/>
              </w:rPr>
              <w:t>Dégradé</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2,3</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2,3</w:t>
            </w:r>
          </w:p>
        </w:tc>
      </w:tr>
      <w:tr w:rsidR="00AB1D5F" w:rsidRPr="00C91C0F" w:rsidTr="00AB1D5F">
        <w:trPr>
          <w:trHeight w:val="319"/>
        </w:trPr>
        <w:tc>
          <w:tcPr>
            <w:tcW w:w="3173" w:type="pct"/>
            <w:shd w:val="clear" w:color="auto" w:fill="auto"/>
          </w:tcPr>
          <w:p w:rsidR="00AB1D5F" w:rsidRPr="00C91C0F" w:rsidRDefault="00AB1D5F" w:rsidP="00AB1D5F">
            <w:pPr>
              <w:spacing w:after="0" w:line="240" w:lineRule="auto"/>
              <w:rPr>
                <w:rFonts w:ascii="Times New Roman" w:eastAsia="Times New Roman" w:hAnsi="Times New Roman" w:cs="Times New Roman"/>
                <w:b/>
                <w:bCs/>
                <w:color w:val="000000"/>
                <w:sz w:val="20"/>
                <w:szCs w:val="20"/>
                <w:lang w:eastAsia="fr-FR"/>
              </w:rPr>
            </w:pPr>
            <w:r w:rsidRPr="00C91C0F">
              <w:rPr>
                <w:rFonts w:ascii="Times New Roman" w:eastAsia="Times New Roman" w:hAnsi="Times New Roman" w:cs="Times New Roman"/>
                <w:b/>
                <w:bCs/>
                <w:color w:val="000000"/>
                <w:sz w:val="20"/>
                <w:szCs w:val="20"/>
                <w:lang w:eastAsia="fr-FR"/>
              </w:rPr>
              <w:t>Distance moyenne entre le  marché de vente en gros de céréales et le lieu d’établissement de l’entreprise (km)</w:t>
            </w:r>
          </w:p>
        </w:tc>
        <w:tc>
          <w:tcPr>
            <w:tcW w:w="874" w:type="pct"/>
            <w:shd w:val="clear" w:color="auto" w:fill="auto"/>
            <w:noWrap/>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0,5</w:t>
            </w:r>
          </w:p>
        </w:tc>
        <w:tc>
          <w:tcPr>
            <w:tcW w:w="953" w:type="pct"/>
            <w:shd w:val="clear" w:color="auto" w:fill="auto"/>
            <w:noWrap/>
          </w:tcPr>
          <w:p w:rsidR="00AB1D5F" w:rsidRPr="00C91C0F" w:rsidRDefault="00AB1D5F" w:rsidP="00AB1D5F">
            <w:pPr>
              <w:spacing w:after="0" w:line="240" w:lineRule="auto"/>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0,5</w:t>
            </w:r>
          </w:p>
        </w:tc>
      </w:tr>
    </w:tbl>
    <w:p w:rsidR="00AB1D5F" w:rsidRPr="00385576" w:rsidRDefault="00AB1D5F" w:rsidP="00AB1D5F">
      <w:pPr>
        <w:spacing w:after="0" w:line="240" w:lineRule="auto"/>
        <w:rPr>
          <w:rFonts w:ascii="Times New Roman" w:hAnsi="Times New Roman" w:cs="Times New Roman"/>
        </w:rPr>
      </w:pPr>
      <w:r w:rsidRPr="00B423E0">
        <w:rPr>
          <w:rFonts w:ascii="Times New Roman" w:hAnsi="Times New Roman" w:cs="Times New Roman"/>
        </w:rPr>
        <w:t xml:space="preserve"> </w:t>
      </w:r>
      <w:r w:rsidRPr="00385576">
        <w:rPr>
          <w:rFonts w:ascii="Times New Roman" w:hAnsi="Times New Roman" w:cs="Times New Roman"/>
        </w:rPr>
        <w:t>Source : Enquête PAPA, 2018</w:t>
      </w:r>
    </w:p>
    <w:p w:rsidR="00AB1D5F" w:rsidRPr="00385576" w:rsidRDefault="00AB1D5F" w:rsidP="00AB1D5F">
      <w:pPr>
        <w:pStyle w:val="RapportPAPA0"/>
        <w:rPr>
          <w:sz w:val="22"/>
          <w:szCs w:val="22"/>
        </w:rPr>
      </w:pPr>
      <w:r w:rsidRPr="00385576">
        <w:rPr>
          <w:sz w:val="22"/>
          <w:szCs w:val="22"/>
        </w:rPr>
        <w:t>Très peu de services sont employés par les entreprises de vente en gros de céréales. C</w:t>
      </w:r>
      <w:r w:rsidR="009B6AC1">
        <w:rPr>
          <w:sz w:val="22"/>
          <w:szCs w:val="22"/>
        </w:rPr>
        <w:t xml:space="preserve">omme présenté dans le tableau </w:t>
      </w:r>
      <w:r w:rsidRPr="00385576">
        <w:rPr>
          <w:sz w:val="22"/>
          <w:szCs w:val="22"/>
        </w:rPr>
        <w:t>4, ces services ne sont qu’au nombre de deux. Il s’agit de la location de matériels de transport et celle de magasins de séchage de céréales.</w:t>
      </w:r>
    </w:p>
    <w:p w:rsidR="00AB1D5F" w:rsidRPr="00385576" w:rsidRDefault="00AB1D5F" w:rsidP="00AB1D5F">
      <w:pPr>
        <w:spacing w:after="200" w:line="240" w:lineRule="auto"/>
        <w:rPr>
          <w:rFonts w:ascii="Times New Roman" w:hAnsi="Times New Roman" w:cs="Times New Roman"/>
          <w:iCs/>
        </w:rPr>
      </w:pPr>
      <w:bookmarkStart w:id="23" w:name="_Toc1484424"/>
      <w:bookmarkStart w:id="24" w:name="_Toc3549371"/>
      <w:bookmarkStart w:id="25" w:name="_Toc34827999"/>
      <w:r w:rsidRPr="00385576">
        <w:rPr>
          <w:rFonts w:ascii="Times New Roman" w:hAnsi="Times New Roman" w:cs="Times New Roman"/>
          <w:b/>
          <w:iCs/>
        </w:rPr>
        <w:t xml:space="preserve">Tableau </w:t>
      </w:r>
      <w:r w:rsidRPr="00385576">
        <w:rPr>
          <w:rFonts w:ascii="Times New Roman" w:hAnsi="Times New Roman" w:cs="Times New Roman"/>
          <w:b/>
          <w:iCs/>
        </w:rPr>
        <w:fldChar w:fldCharType="begin"/>
      </w:r>
      <w:r w:rsidRPr="00385576">
        <w:rPr>
          <w:rFonts w:ascii="Times New Roman" w:hAnsi="Times New Roman" w:cs="Times New Roman"/>
          <w:b/>
          <w:iCs/>
        </w:rPr>
        <w:instrText xml:space="preserve"> SEQ Tableau \* ARABIC \s 1 </w:instrText>
      </w:r>
      <w:r w:rsidRPr="00385576">
        <w:rPr>
          <w:rFonts w:ascii="Times New Roman" w:hAnsi="Times New Roman" w:cs="Times New Roman"/>
          <w:b/>
          <w:iCs/>
        </w:rPr>
        <w:fldChar w:fldCharType="separate"/>
      </w:r>
      <w:r w:rsidRPr="00385576">
        <w:rPr>
          <w:rFonts w:ascii="Times New Roman" w:hAnsi="Times New Roman" w:cs="Times New Roman"/>
          <w:b/>
          <w:iCs/>
          <w:noProof/>
        </w:rPr>
        <w:t>4</w:t>
      </w:r>
      <w:r w:rsidRPr="00385576">
        <w:rPr>
          <w:rFonts w:ascii="Times New Roman" w:hAnsi="Times New Roman" w:cs="Times New Roman"/>
          <w:b/>
          <w:iCs/>
        </w:rPr>
        <w:fldChar w:fldCharType="end"/>
      </w:r>
      <w:r w:rsidRPr="00385576">
        <w:rPr>
          <w:rFonts w:ascii="Times New Roman" w:hAnsi="Times New Roman" w:cs="Times New Roman"/>
          <w:iCs/>
        </w:rPr>
        <w:t> : Accès aux services</w:t>
      </w:r>
      <w:bookmarkEnd w:id="23"/>
      <w:bookmarkEnd w:id="24"/>
      <w:bookmarkEnd w:id="25"/>
      <w:r w:rsidRPr="00385576">
        <w:rPr>
          <w:rFonts w:ascii="Times New Roman" w:hAnsi="Times New Roman" w:cs="Times New Roman"/>
          <w:iCs/>
        </w:rPr>
        <w:t xml:space="preser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753"/>
        <w:gridCol w:w="1584"/>
        <w:gridCol w:w="1725"/>
      </w:tblGrid>
      <w:tr w:rsidR="00AB1D5F" w:rsidRPr="00C91C0F" w:rsidTr="00AB1D5F">
        <w:trPr>
          <w:trHeight w:val="329"/>
        </w:trPr>
        <w:tc>
          <w:tcPr>
            <w:tcW w:w="3174" w:type="pct"/>
            <w:tcBorders>
              <w:bottom w:val="single" w:sz="12" w:space="0" w:color="666666"/>
            </w:tcBorders>
            <w:shd w:val="clear" w:color="auto" w:fill="auto"/>
            <w:hideMark/>
          </w:tcPr>
          <w:p w:rsidR="00AB1D5F" w:rsidRPr="00C91C0F" w:rsidRDefault="00AB1D5F" w:rsidP="00AB1D5F">
            <w:pPr>
              <w:spacing w:after="0" w:line="240" w:lineRule="auto"/>
              <w:rPr>
                <w:rFonts w:ascii="Times New Roman" w:hAnsi="Times New Roman" w:cs="Times New Roman"/>
                <w:b/>
                <w:bCs/>
                <w:sz w:val="20"/>
                <w:szCs w:val="24"/>
              </w:rPr>
            </w:pPr>
            <w:r w:rsidRPr="00C91C0F">
              <w:rPr>
                <w:rFonts w:ascii="Times New Roman" w:hAnsi="Times New Roman" w:cs="Times New Roman"/>
                <w:b/>
                <w:bCs/>
                <w:sz w:val="20"/>
                <w:szCs w:val="24"/>
              </w:rPr>
              <w:t>Services (</w:t>
            </w:r>
            <w:r w:rsidRPr="00C91C0F">
              <w:rPr>
                <w:rFonts w:ascii="Times New Roman" w:eastAsia="Times New Roman" w:hAnsi="Times New Roman" w:cs="Times New Roman"/>
                <w:b/>
                <w:bCs/>
                <w:color w:val="000000"/>
                <w:sz w:val="20"/>
                <w:szCs w:val="24"/>
                <w:lang w:eastAsia="fr-FR"/>
              </w:rPr>
              <w:t>N=87)</w:t>
            </w:r>
          </w:p>
        </w:tc>
        <w:tc>
          <w:tcPr>
            <w:tcW w:w="874" w:type="pct"/>
            <w:tcBorders>
              <w:bottom w:val="single" w:sz="12" w:space="0" w:color="666666"/>
            </w:tcBorders>
            <w:shd w:val="clear" w:color="auto" w:fill="auto"/>
          </w:tcPr>
          <w:p w:rsidR="00AB1D5F" w:rsidRPr="00C91C0F" w:rsidRDefault="00AB1D5F" w:rsidP="00AB1D5F">
            <w:pPr>
              <w:spacing w:after="0" w:line="240" w:lineRule="auto"/>
              <w:rPr>
                <w:rFonts w:ascii="Times New Roman" w:eastAsia="Times New Roman" w:hAnsi="Times New Roman" w:cs="Times New Roman"/>
                <w:b/>
                <w:bCs/>
                <w:color w:val="000000"/>
                <w:sz w:val="20"/>
                <w:szCs w:val="24"/>
                <w:lang w:eastAsia="fr-FR"/>
              </w:rPr>
            </w:pPr>
            <w:r w:rsidRPr="00C91C0F">
              <w:rPr>
                <w:rFonts w:ascii="Times New Roman" w:eastAsia="Times New Roman" w:hAnsi="Times New Roman" w:cs="Times New Roman"/>
                <w:b/>
                <w:bCs/>
                <w:color w:val="000000"/>
                <w:sz w:val="20"/>
                <w:szCs w:val="24"/>
                <w:lang w:eastAsia="fr-FR"/>
              </w:rPr>
              <w:t xml:space="preserve">Démarrage </w:t>
            </w:r>
          </w:p>
        </w:tc>
        <w:tc>
          <w:tcPr>
            <w:tcW w:w="953" w:type="pct"/>
            <w:tcBorders>
              <w:bottom w:val="single" w:sz="12" w:space="0" w:color="666666"/>
            </w:tcBorders>
            <w:shd w:val="clear" w:color="auto" w:fill="auto"/>
          </w:tcPr>
          <w:p w:rsidR="00AB1D5F" w:rsidRPr="00C91C0F" w:rsidRDefault="00AB1D5F" w:rsidP="00AB1D5F">
            <w:pPr>
              <w:spacing w:after="0" w:line="240" w:lineRule="auto"/>
              <w:rPr>
                <w:rFonts w:ascii="Times New Roman" w:eastAsia="Times New Roman" w:hAnsi="Times New Roman" w:cs="Times New Roman"/>
                <w:b/>
                <w:bCs/>
                <w:color w:val="000000"/>
                <w:sz w:val="20"/>
                <w:szCs w:val="24"/>
                <w:lang w:eastAsia="fr-FR"/>
              </w:rPr>
            </w:pPr>
            <w:r w:rsidRPr="00C91C0F">
              <w:rPr>
                <w:rFonts w:ascii="Times New Roman" w:eastAsia="Times New Roman" w:hAnsi="Times New Roman" w:cs="Times New Roman"/>
                <w:b/>
                <w:bCs/>
                <w:color w:val="000000"/>
                <w:sz w:val="20"/>
                <w:szCs w:val="24"/>
                <w:lang w:eastAsia="fr-FR"/>
              </w:rPr>
              <w:t>2018</w:t>
            </w:r>
          </w:p>
        </w:tc>
      </w:tr>
      <w:tr w:rsidR="00AB1D5F" w:rsidRPr="00C91C0F" w:rsidTr="00AB1D5F">
        <w:trPr>
          <w:trHeight w:val="793"/>
        </w:trPr>
        <w:tc>
          <w:tcPr>
            <w:tcW w:w="3174"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4"/>
                <w:lang w:eastAsia="fr-FR"/>
              </w:rPr>
            </w:pPr>
            <w:r w:rsidRPr="00C91C0F">
              <w:rPr>
                <w:rFonts w:ascii="Times New Roman" w:eastAsia="Times New Roman" w:hAnsi="Times New Roman" w:cs="Times New Roman"/>
                <w:bCs/>
                <w:color w:val="000000"/>
                <w:sz w:val="20"/>
                <w:szCs w:val="24"/>
                <w:lang w:eastAsia="fr-FR"/>
              </w:rPr>
              <w:t>Proportion d'acteurs ayant accès aux entreprises de location de matériel de transport (camion, camionnette…) (%)</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4"/>
                <w:lang w:eastAsia="fr-FR"/>
              </w:rPr>
            </w:pPr>
            <w:r w:rsidRPr="00C91C0F">
              <w:rPr>
                <w:rFonts w:ascii="Times New Roman" w:eastAsia="Times New Roman" w:hAnsi="Times New Roman" w:cs="Times New Roman"/>
                <w:color w:val="000000"/>
                <w:sz w:val="20"/>
                <w:szCs w:val="24"/>
                <w:lang w:eastAsia="fr-FR"/>
              </w:rPr>
              <w:t>5,75</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4"/>
                <w:lang w:eastAsia="fr-FR"/>
              </w:rPr>
            </w:pPr>
            <w:r w:rsidRPr="00C91C0F">
              <w:rPr>
                <w:rFonts w:ascii="Times New Roman" w:eastAsia="Times New Roman" w:hAnsi="Times New Roman" w:cs="Times New Roman"/>
                <w:color w:val="000000"/>
                <w:sz w:val="20"/>
                <w:szCs w:val="24"/>
                <w:lang w:eastAsia="fr-FR"/>
              </w:rPr>
              <w:t>13,79</w:t>
            </w:r>
          </w:p>
        </w:tc>
      </w:tr>
      <w:tr w:rsidR="00AB1D5F" w:rsidRPr="00C91C0F" w:rsidTr="00AB1D5F">
        <w:trPr>
          <w:trHeight w:val="793"/>
        </w:trPr>
        <w:tc>
          <w:tcPr>
            <w:tcW w:w="3174" w:type="pc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szCs w:val="24"/>
                <w:lang w:eastAsia="fr-FR"/>
              </w:rPr>
            </w:pPr>
            <w:r w:rsidRPr="00C91C0F">
              <w:rPr>
                <w:rFonts w:ascii="Times New Roman" w:eastAsia="Times New Roman" w:hAnsi="Times New Roman" w:cs="Times New Roman"/>
                <w:bCs/>
                <w:color w:val="000000"/>
                <w:sz w:val="20"/>
                <w:szCs w:val="24"/>
                <w:lang w:eastAsia="fr-FR"/>
              </w:rPr>
              <w:t>Proportion d'acteurs ayant accès aux entreprises/magasin  de séchage que vous pouvez partager ou louer</w:t>
            </w:r>
          </w:p>
        </w:tc>
        <w:tc>
          <w:tcPr>
            <w:tcW w:w="874"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4"/>
                <w:lang w:eastAsia="fr-FR"/>
              </w:rPr>
            </w:pPr>
            <w:r w:rsidRPr="00C91C0F">
              <w:rPr>
                <w:rFonts w:ascii="Times New Roman" w:eastAsia="Times New Roman" w:hAnsi="Times New Roman" w:cs="Times New Roman"/>
                <w:color w:val="000000"/>
                <w:sz w:val="20"/>
                <w:szCs w:val="24"/>
                <w:lang w:eastAsia="fr-FR"/>
              </w:rPr>
              <w:t>4,6</w:t>
            </w:r>
          </w:p>
        </w:tc>
        <w:tc>
          <w:tcPr>
            <w:tcW w:w="953"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color w:val="000000"/>
                <w:sz w:val="20"/>
                <w:szCs w:val="24"/>
                <w:lang w:eastAsia="fr-FR"/>
              </w:rPr>
            </w:pPr>
            <w:r w:rsidRPr="00C91C0F">
              <w:rPr>
                <w:rFonts w:ascii="Times New Roman" w:eastAsia="Times New Roman" w:hAnsi="Times New Roman" w:cs="Times New Roman"/>
                <w:color w:val="000000"/>
                <w:sz w:val="20"/>
                <w:szCs w:val="24"/>
                <w:lang w:eastAsia="fr-FR"/>
              </w:rPr>
              <w:t>2,3</w:t>
            </w:r>
          </w:p>
        </w:tc>
      </w:tr>
    </w:tbl>
    <w:p w:rsidR="00AB1D5F" w:rsidRPr="00385576" w:rsidRDefault="00AB1D5F" w:rsidP="00AB1D5F">
      <w:pPr>
        <w:spacing w:after="0" w:line="240" w:lineRule="auto"/>
        <w:rPr>
          <w:rFonts w:ascii="Times New Roman" w:hAnsi="Times New Roman" w:cs="Times New Roman"/>
        </w:rPr>
      </w:pPr>
      <w:r w:rsidRPr="00385576">
        <w:rPr>
          <w:rFonts w:ascii="Times New Roman" w:hAnsi="Times New Roman" w:cs="Times New Roman"/>
        </w:rPr>
        <w:t>Source : Enquête PAPA, 2018</w:t>
      </w:r>
    </w:p>
    <w:p w:rsidR="00AB1D5F" w:rsidRPr="00385576" w:rsidRDefault="00AB1D5F" w:rsidP="00AB1D5F">
      <w:pPr>
        <w:spacing w:after="0" w:line="240" w:lineRule="auto"/>
        <w:rPr>
          <w:rFonts w:ascii="Times New Roman" w:hAnsi="Times New Roman" w:cs="Times New Roman"/>
        </w:rPr>
      </w:pPr>
    </w:p>
    <w:p w:rsidR="00AB1D5F" w:rsidRPr="00385576" w:rsidRDefault="00AB1D5F" w:rsidP="00AB1D5F">
      <w:pPr>
        <w:pStyle w:val="RapportPAPA"/>
        <w:rPr>
          <w:sz w:val="22"/>
          <w:szCs w:val="22"/>
        </w:rPr>
      </w:pPr>
      <w:r w:rsidRPr="00385576">
        <w:rPr>
          <w:sz w:val="22"/>
          <w:szCs w:val="22"/>
        </w:rPr>
        <w:t>Dans le cadre de leurs activités, les entreprises de vente en gros de céréales ne bénéficient pas, en général, de formations de la part d’entités gouvernementales ou non-gouvernementales.  En outre, 27% d’entre elles ont été membres d’organisations de commerçants en 2015 puis l’effectif a diminué dans les deux années qui ont suivi avec 23% d</w:t>
      </w:r>
      <w:r w:rsidR="009B6AC1">
        <w:rPr>
          <w:sz w:val="22"/>
          <w:szCs w:val="22"/>
        </w:rPr>
        <w:t xml:space="preserve">es grossistes en 2017 (figure </w:t>
      </w:r>
      <w:r w:rsidRPr="00385576">
        <w:rPr>
          <w:sz w:val="22"/>
          <w:szCs w:val="22"/>
        </w:rPr>
        <w:t xml:space="preserve">3). Notons qu’aucun de ces commerçants n’est membre d’une interprofession. Ils sont en général dans des associations ou unions. Peu d’entre eux ont adhéré à des coopératives (4,55%). </w:t>
      </w:r>
    </w:p>
    <w:p w:rsidR="00AB1D5F" w:rsidRPr="00B423E0" w:rsidRDefault="00AB1D5F" w:rsidP="00AB1D5F">
      <w:pPr>
        <w:spacing w:after="0" w:line="240" w:lineRule="auto"/>
        <w:rPr>
          <w:rFonts w:ascii="Times New Roman" w:hAnsi="Times New Roman" w:cs="Times New Roman"/>
        </w:rPr>
      </w:pPr>
      <w:r w:rsidRPr="00B423E0">
        <w:rPr>
          <w:rFonts w:ascii="Times New Roman" w:hAnsi="Times New Roman" w:cs="Times New Roman"/>
          <w:noProof/>
          <w:lang w:eastAsia="fr-FR"/>
        </w:rPr>
        <w:lastRenderedPageBreak/>
        <w:drawing>
          <wp:inline distT="0" distB="0" distL="0" distR="0" wp14:anchorId="429A04DE" wp14:editId="29B9A333">
            <wp:extent cx="5745480" cy="2537460"/>
            <wp:effectExtent l="0" t="0" r="7620" b="15240"/>
            <wp:docPr id="5"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1D5F" w:rsidRPr="00B423E0" w:rsidRDefault="00AB1D5F" w:rsidP="00AB1D5F">
      <w:pPr>
        <w:spacing w:after="0" w:line="240" w:lineRule="auto"/>
        <w:rPr>
          <w:rFonts w:ascii="Times New Roman" w:hAnsi="Times New Roman" w:cs="Times New Roman"/>
          <w:iCs/>
          <w:szCs w:val="18"/>
        </w:rPr>
      </w:pPr>
      <w:bookmarkStart w:id="26" w:name="_Toc1417015"/>
      <w:bookmarkStart w:id="27" w:name="_Toc1484535"/>
      <w:bookmarkStart w:id="28" w:name="_Toc3549252"/>
      <w:bookmarkStart w:id="29" w:name="_Toc34828017"/>
      <w:r w:rsidRPr="00B423E0">
        <w:rPr>
          <w:rFonts w:ascii="Times New Roman" w:hAnsi="Times New Roman" w:cs="Times New Roman"/>
          <w:b/>
          <w:iCs/>
          <w:szCs w:val="18"/>
        </w:rPr>
        <w:t xml:space="preserve">Figure </w:t>
      </w:r>
      <w:r w:rsidRPr="00B423E0">
        <w:rPr>
          <w:rFonts w:ascii="Times New Roman" w:hAnsi="Times New Roman" w:cs="Times New Roman"/>
          <w:b/>
          <w:iCs/>
          <w:szCs w:val="18"/>
        </w:rPr>
        <w:fldChar w:fldCharType="begin"/>
      </w:r>
      <w:r w:rsidRPr="00B423E0">
        <w:rPr>
          <w:rFonts w:ascii="Times New Roman" w:hAnsi="Times New Roman" w:cs="Times New Roman"/>
          <w:b/>
          <w:iCs/>
          <w:szCs w:val="18"/>
        </w:rPr>
        <w:instrText xml:space="preserve"> SEQ Figure \* ARABIC \s 1 </w:instrText>
      </w:r>
      <w:r w:rsidRPr="00B423E0">
        <w:rPr>
          <w:rFonts w:ascii="Times New Roman" w:hAnsi="Times New Roman" w:cs="Times New Roman"/>
          <w:b/>
          <w:iCs/>
          <w:szCs w:val="18"/>
        </w:rPr>
        <w:fldChar w:fldCharType="separate"/>
      </w:r>
      <w:r w:rsidRPr="00B423E0">
        <w:rPr>
          <w:rFonts w:ascii="Times New Roman" w:hAnsi="Times New Roman" w:cs="Times New Roman"/>
          <w:b/>
          <w:iCs/>
          <w:noProof/>
          <w:szCs w:val="18"/>
        </w:rPr>
        <w:t>3</w:t>
      </w:r>
      <w:r w:rsidRPr="00B423E0">
        <w:rPr>
          <w:rFonts w:ascii="Times New Roman" w:hAnsi="Times New Roman" w:cs="Times New Roman"/>
          <w:b/>
          <w:iCs/>
          <w:szCs w:val="18"/>
        </w:rPr>
        <w:fldChar w:fldCharType="end"/>
      </w:r>
      <w:r w:rsidRPr="00B423E0">
        <w:rPr>
          <w:rFonts w:ascii="Times New Roman" w:hAnsi="Times New Roman" w:cs="Times New Roman"/>
          <w:b/>
          <w:iCs/>
          <w:szCs w:val="18"/>
        </w:rPr>
        <w:t> :</w:t>
      </w:r>
      <w:r w:rsidRPr="00B423E0">
        <w:rPr>
          <w:rFonts w:ascii="Times New Roman" w:hAnsi="Times New Roman" w:cs="Times New Roman"/>
          <w:iCs/>
          <w:szCs w:val="18"/>
        </w:rPr>
        <w:t xml:space="preserve"> Types d’organisations auxquelles adhèrent les entreprises de commercialisation en gros de céréales sèches</w:t>
      </w:r>
      <w:bookmarkEnd w:id="26"/>
      <w:bookmarkEnd w:id="27"/>
      <w:bookmarkEnd w:id="28"/>
      <w:bookmarkEnd w:id="29"/>
    </w:p>
    <w:p w:rsidR="00AB1D5F" w:rsidRPr="00B423E0" w:rsidRDefault="00AB1D5F" w:rsidP="00AB1D5F">
      <w:pPr>
        <w:spacing w:after="200" w:line="240" w:lineRule="auto"/>
        <w:rPr>
          <w:rFonts w:ascii="Times New Roman" w:hAnsi="Times New Roman" w:cs="Times New Roman"/>
          <w:iCs/>
          <w:szCs w:val="18"/>
        </w:rPr>
      </w:pPr>
      <w:r w:rsidRPr="00B423E0">
        <w:rPr>
          <w:rFonts w:ascii="Times New Roman" w:hAnsi="Times New Roman" w:cs="Times New Roman"/>
          <w:iCs/>
          <w:szCs w:val="18"/>
        </w:rPr>
        <w:t>Source : Enquête PAPA, 2018</w:t>
      </w:r>
    </w:p>
    <w:p w:rsidR="00AB1D5F" w:rsidRPr="00385576" w:rsidRDefault="00AB1D5F" w:rsidP="00AB1D5F">
      <w:pPr>
        <w:pStyle w:val="RapportPAPA0"/>
        <w:rPr>
          <w:sz w:val="22"/>
        </w:rPr>
      </w:pPr>
      <w:r w:rsidRPr="00385576">
        <w:rPr>
          <w:sz w:val="22"/>
        </w:rPr>
        <w:t>Pour les besoins de leur activité, 30% des grossistes membres d’une organisation reçoivent des conseils pratiques sur la vente, 21,69 % d’entre eux reçoivent des conseils sur l’application des prix et 17% de ces grossistes ont bénéficié des facilités d’accès au crédit par ces organisations. Quelques autres rares services leur sont procurés par les organisations. Parmi ces services nous avons : la vérification de la qualité des produits achetés (2,41%), l’achat groupé de céréales ainsi que le conditionnement des commandes groupées (3,61%) comme au niveau des coopératives de marché.</w:t>
      </w:r>
    </w:p>
    <w:p w:rsidR="00AB1D5F" w:rsidRDefault="00AB1D5F" w:rsidP="00AB1D5F">
      <w:pPr>
        <w:pStyle w:val="RapportPAPA0"/>
        <w:rPr>
          <w:color w:val="000000"/>
          <w:sz w:val="22"/>
        </w:rPr>
      </w:pPr>
      <w:r w:rsidRPr="00385576">
        <w:rPr>
          <w:sz w:val="22"/>
        </w:rPr>
        <w:t>Les principaux clients des grossistes de céréales sont les consommateurs (87,36% des grossistes) et les commerçants détaillants (76,63% des grossiste</w:t>
      </w:r>
      <w:r w:rsidR="009B6AC1">
        <w:rPr>
          <w:sz w:val="22"/>
        </w:rPr>
        <w:t>s) selon l’analyse du tableau 5</w:t>
      </w:r>
      <w:r w:rsidRPr="00385576">
        <w:rPr>
          <w:sz w:val="22"/>
        </w:rPr>
        <w:t>. Les données présentées dans ce tableau montrent que l’échange est également important entre grossistes avec en moyenne 23,67% d’entre eux qui le pratiquent Le secteur de la transformation ne constitue pas le principal débouché des céréales commercialisées par les vendeurs en gros puisque seuls 17,75% d’entre eux vendent à des restaurateurs et 43,68% commercialisent leurs céréales auprès de transformateurs. Les distances parcourues pour la vente des céréales ne sont généralement pas importantes. En effet, les commerçants grossistes de céréales sont plus sédentarisés au niveau de leurs étals ou magasins avec 100% qui vendent leurs produits dans le même quartier que celui du magasin ou étal et seulement 16.1% vendent dans d’autres quartiers ou en dehors de leur vil</w:t>
      </w:r>
      <w:r w:rsidR="008D2E32">
        <w:rPr>
          <w:sz w:val="22"/>
        </w:rPr>
        <w:t>le d’installation. Le tableau 5</w:t>
      </w:r>
      <w:r w:rsidRPr="00385576">
        <w:rPr>
          <w:sz w:val="22"/>
        </w:rPr>
        <w:t xml:space="preserve"> montre également que le </w:t>
      </w:r>
      <w:r w:rsidRPr="00385576">
        <w:rPr>
          <w:color w:val="000000"/>
          <w:sz w:val="22"/>
        </w:rPr>
        <w:t xml:space="preserve">nombre de grossistes offrant des facilités d’achat à leurs clients est important. Il s’agit de 59,77% des commerçants de gros qui pratiquent la vente à crédit. </w:t>
      </w:r>
    </w:p>
    <w:p w:rsidR="00385576" w:rsidRDefault="00385576" w:rsidP="00AB1D5F">
      <w:pPr>
        <w:pStyle w:val="RapportPAPA0"/>
        <w:rPr>
          <w:color w:val="000000"/>
          <w:sz w:val="22"/>
        </w:rPr>
      </w:pPr>
    </w:p>
    <w:p w:rsidR="00385576" w:rsidRDefault="00385576" w:rsidP="00AB1D5F">
      <w:pPr>
        <w:pStyle w:val="RapportPAPA0"/>
        <w:rPr>
          <w:color w:val="000000"/>
          <w:sz w:val="22"/>
        </w:rPr>
      </w:pPr>
    </w:p>
    <w:p w:rsidR="00385576" w:rsidRDefault="00385576" w:rsidP="00AB1D5F">
      <w:pPr>
        <w:pStyle w:val="RapportPAPA0"/>
        <w:rPr>
          <w:color w:val="000000"/>
          <w:sz w:val="22"/>
        </w:rPr>
      </w:pPr>
    </w:p>
    <w:p w:rsidR="00385576" w:rsidRPr="00385576" w:rsidRDefault="00385576" w:rsidP="00385576"/>
    <w:p w:rsidR="00AB1D5F" w:rsidRPr="00385576" w:rsidRDefault="00AB1D5F" w:rsidP="00AB1D5F">
      <w:pPr>
        <w:spacing w:after="200" w:line="240" w:lineRule="auto"/>
        <w:rPr>
          <w:rFonts w:ascii="Times New Roman" w:eastAsia="Calibri" w:hAnsi="Times New Roman" w:cs="Times New Roman"/>
          <w:iCs/>
          <w:sz w:val="24"/>
          <w:szCs w:val="18"/>
        </w:rPr>
      </w:pPr>
      <w:bookmarkStart w:id="30" w:name="_Toc1387403"/>
      <w:bookmarkStart w:id="31" w:name="_Toc3549374"/>
      <w:bookmarkStart w:id="32" w:name="_Toc34828000"/>
      <w:r w:rsidRPr="00385576">
        <w:rPr>
          <w:rFonts w:ascii="Times New Roman" w:eastAsia="Calibri" w:hAnsi="Times New Roman" w:cs="Times New Roman"/>
          <w:b/>
          <w:iCs/>
          <w:szCs w:val="18"/>
        </w:rPr>
        <w:lastRenderedPageBreak/>
        <w:t xml:space="preserve">Tableau </w:t>
      </w:r>
      <w:r w:rsidRPr="00385576">
        <w:rPr>
          <w:rFonts w:ascii="Times New Roman" w:eastAsia="Calibri" w:hAnsi="Times New Roman" w:cs="Times New Roman"/>
          <w:b/>
          <w:iCs/>
          <w:szCs w:val="18"/>
        </w:rPr>
        <w:fldChar w:fldCharType="begin"/>
      </w:r>
      <w:r w:rsidRPr="00385576">
        <w:rPr>
          <w:rFonts w:ascii="Times New Roman" w:eastAsia="Calibri" w:hAnsi="Times New Roman" w:cs="Times New Roman"/>
          <w:b/>
          <w:iCs/>
          <w:szCs w:val="18"/>
        </w:rPr>
        <w:instrText xml:space="preserve"> SEQ Tableau \* ARABIC \s 1 </w:instrText>
      </w:r>
      <w:r w:rsidRPr="00385576">
        <w:rPr>
          <w:rFonts w:ascii="Times New Roman" w:eastAsia="Calibri" w:hAnsi="Times New Roman" w:cs="Times New Roman"/>
          <w:b/>
          <w:iCs/>
          <w:szCs w:val="18"/>
        </w:rPr>
        <w:fldChar w:fldCharType="separate"/>
      </w:r>
      <w:r w:rsidRPr="00385576">
        <w:rPr>
          <w:rFonts w:ascii="Times New Roman" w:eastAsia="Calibri" w:hAnsi="Times New Roman" w:cs="Times New Roman"/>
          <w:b/>
          <w:iCs/>
          <w:noProof/>
          <w:szCs w:val="18"/>
        </w:rPr>
        <w:t>5</w:t>
      </w:r>
      <w:r w:rsidRPr="00385576">
        <w:rPr>
          <w:rFonts w:ascii="Times New Roman" w:eastAsia="Calibri" w:hAnsi="Times New Roman" w:cs="Times New Roman"/>
          <w:b/>
          <w:iCs/>
          <w:szCs w:val="18"/>
        </w:rPr>
        <w:fldChar w:fldCharType="end"/>
      </w:r>
      <w:r w:rsidRPr="00385576">
        <w:rPr>
          <w:rFonts w:ascii="Times New Roman" w:eastAsia="Calibri" w:hAnsi="Times New Roman" w:cs="Times New Roman"/>
          <w:b/>
          <w:iCs/>
          <w:szCs w:val="18"/>
        </w:rPr>
        <w:t> :</w:t>
      </w:r>
      <w:r w:rsidRPr="00385576">
        <w:rPr>
          <w:rFonts w:ascii="Times New Roman" w:eastAsia="Calibri" w:hAnsi="Times New Roman" w:cs="Times New Roman"/>
          <w:iCs/>
          <w:szCs w:val="18"/>
        </w:rPr>
        <w:t xml:space="preserve"> Clientèle et lieux de vente des grossistes de céréales sèches</w:t>
      </w:r>
      <w:bookmarkEnd w:id="30"/>
      <w:r w:rsidRPr="00385576">
        <w:rPr>
          <w:rFonts w:ascii="Times New Roman" w:eastAsia="Calibri" w:hAnsi="Times New Roman" w:cs="Times New Roman"/>
          <w:iCs/>
          <w:szCs w:val="18"/>
        </w:rPr>
        <w:t xml:space="preserve"> (semaine précédant l’enquête)</w:t>
      </w:r>
      <w:bookmarkEnd w:id="31"/>
      <w:bookmarkEnd w:id="32"/>
    </w:p>
    <w:tbl>
      <w:tblPr>
        <w:tblStyle w:val="TableauGrille1Clair"/>
        <w:tblW w:w="5000" w:type="pct"/>
        <w:tblLook w:val="04A0" w:firstRow="1" w:lastRow="0" w:firstColumn="1" w:lastColumn="0" w:noHBand="0" w:noVBand="1"/>
      </w:tblPr>
      <w:tblGrid>
        <w:gridCol w:w="5934"/>
        <w:gridCol w:w="3128"/>
      </w:tblGrid>
      <w:tr w:rsidR="00AB1D5F" w:rsidRPr="00C91C0F" w:rsidTr="00AB1D5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Types d'acheteurs (%)</w:t>
            </w:r>
          </w:p>
        </w:tc>
        <w:tc>
          <w:tcPr>
            <w:tcW w:w="1726" w:type="pct"/>
            <w:noWrap/>
            <w:hideMark/>
          </w:tcPr>
          <w:p w:rsidR="00AB1D5F" w:rsidRPr="00C91C0F" w:rsidRDefault="00AB1D5F" w:rsidP="00AB1D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 N=87</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Consommateur</w:t>
            </w:r>
          </w:p>
        </w:tc>
        <w:tc>
          <w:tcPr>
            <w:tcW w:w="1726" w:type="pct"/>
            <w:noWrap/>
            <w:vAlign w:val="bottom"/>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hAnsi="Times New Roman" w:cs="Times New Roman"/>
                <w:color w:val="000000"/>
                <w:sz w:val="20"/>
              </w:rPr>
              <w:t>87,36</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Transformateur</w:t>
            </w:r>
          </w:p>
        </w:tc>
        <w:tc>
          <w:tcPr>
            <w:tcW w:w="1726" w:type="pct"/>
            <w:noWrap/>
            <w:vAlign w:val="bottom"/>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hAnsi="Times New Roman" w:cs="Times New Roman"/>
                <w:color w:val="000000"/>
                <w:sz w:val="20"/>
              </w:rPr>
              <w:t>43,68</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Autres détaillants</w:t>
            </w:r>
          </w:p>
        </w:tc>
        <w:tc>
          <w:tcPr>
            <w:tcW w:w="1726" w:type="pct"/>
            <w:noWrap/>
            <w:vAlign w:val="bottom"/>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hAnsi="Times New Roman" w:cs="Times New Roman"/>
                <w:color w:val="000000"/>
                <w:sz w:val="20"/>
              </w:rPr>
              <w:t>81,61</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 xml:space="preserve">Autres grossistes </w:t>
            </w:r>
          </w:p>
        </w:tc>
        <w:tc>
          <w:tcPr>
            <w:tcW w:w="1726" w:type="pct"/>
            <w:noWrap/>
            <w:vAlign w:val="bottom"/>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hAnsi="Times New Roman" w:cs="Times New Roman"/>
                <w:color w:val="000000"/>
                <w:sz w:val="20"/>
              </w:rPr>
              <w:t>33,33</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Restaurateurs</w:t>
            </w:r>
          </w:p>
        </w:tc>
        <w:tc>
          <w:tcPr>
            <w:tcW w:w="1726" w:type="pct"/>
            <w:noWrap/>
            <w:vAlign w:val="bottom"/>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hAnsi="Times New Roman" w:cs="Times New Roman"/>
                <w:color w:val="000000"/>
                <w:sz w:val="20"/>
              </w:rPr>
              <w:t>19,54</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noWrap/>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Autre</w:t>
            </w:r>
          </w:p>
        </w:tc>
        <w:tc>
          <w:tcPr>
            <w:tcW w:w="1726" w:type="pct"/>
            <w:noWrap/>
            <w:vAlign w:val="bottom"/>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hAnsi="Times New Roman" w:cs="Times New Roman"/>
                <w:color w:val="000000"/>
                <w:sz w:val="20"/>
              </w:rPr>
              <w:t>1,15</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Lieu de vente (%)</w:t>
            </w:r>
          </w:p>
        </w:tc>
        <w:tc>
          <w:tcPr>
            <w:tcW w:w="1726" w:type="pct"/>
            <w:noWrap/>
            <w:hideMark/>
          </w:tcPr>
          <w:p w:rsidR="00AB1D5F" w:rsidRPr="00C91C0F" w:rsidRDefault="00AB1D5F" w:rsidP="00AB1D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lang w:eastAsia="fr-FR"/>
              </w:rPr>
            </w:pPr>
            <w:r w:rsidRPr="00C91C0F">
              <w:rPr>
                <w:rFonts w:ascii="Times New Roman" w:eastAsia="Times New Roman" w:hAnsi="Times New Roman" w:cs="Times New Roman"/>
                <w:b/>
                <w:color w:val="000000"/>
                <w:sz w:val="20"/>
                <w:lang w:eastAsia="fr-FR"/>
              </w:rPr>
              <w:t> </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Même quartier que celui où se trouve l’étal/magasin</w:t>
            </w:r>
          </w:p>
        </w:tc>
        <w:tc>
          <w:tcPr>
            <w:tcW w:w="1726" w:type="pct"/>
            <w:noWrap/>
            <w:vAlign w:val="bottom"/>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hAnsi="Times New Roman" w:cs="Times New Roman"/>
                <w:color w:val="000000"/>
                <w:sz w:val="20"/>
              </w:rPr>
              <w:t>100,00</w:t>
            </w:r>
          </w:p>
        </w:tc>
      </w:tr>
      <w:tr w:rsidR="00AB1D5F" w:rsidRPr="00C91C0F" w:rsidTr="00AB1D5F">
        <w:trPr>
          <w:trHeight w:val="627"/>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Autre quartier que celui où se trouve l’étal/magasin, même ville</w:t>
            </w:r>
          </w:p>
        </w:tc>
        <w:tc>
          <w:tcPr>
            <w:tcW w:w="1726" w:type="pct"/>
            <w:noWrap/>
            <w:vAlign w:val="bottom"/>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hAnsi="Times New Roman" w:cs="Times New Roman"/>
                <w:color w:val="000000"/>
                <w:sz w:val="20"/>
              </w:rPr>
              <w:t>16,09</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Autre ville que celui où se trouve l’étal/magasin</w:t>
            </w:r>
          </w:p>
        </w:tc>
        <w:tc>
          <w:tcPr>
            <w:tcW w:w="1726" w:type="pct"/>
            <w:noWrap/>
            <w:vAlign w:val="bottom"/>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hAnsi="Times New Roman" w:cs="Times New Roman"/>
                <w:color w:val="000000"/>
                <w:sz w:val="20"/>
              </w:rPr>
              <w:t>16,09</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Marché des pays limitrophes</w:t>
            </w:r>
          </w:p>
        </w:tc>
        <w:tc>
          <w:tcPr>
            <w:tcW w:w="1726" w:type="pct"/>
            <w:noWrap/>
            <w:vAlign w:val="bottom"/>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hAnsi="Times New Roman" w:cs="Times New Roman"/>
                <w:color w:val="000000"/>
                <w:sz w:val="20"/>
              </w:rPr>
              <w:t>0,00</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Autre</w:t>
            </w:r>
          </w:p>
        </w:tc>
        <w:tc>
          <w:tcPr>
            <w:tcW w:w="1726" w:type="pct"/>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0,00</w:t>
            </w:r>
          </w:p>
        </w:tc>
      </w:tr>
      <w:tr w:rsidR="00AB1D5F" w:rsidRPr="00C91C0F" w:rsidTr="00AB1D5F">
        <w:trPr>
          <w:trHeight w:val="313"/>
        </w:trPr>
        <w:tc>
          <w:tcPr>
            <w:cnfStyle w:val="001000000000" w:firstRow="0" w:lastRow="0" w:firstColumn="1" w:lastColumn="0" w:oddVBand="0" w:evenVBand="0" w:oddHBand="0" w:evenHBand="0" w:firstRowFirstColumn="0" w:firstRowLastColumn="0" w:lastRowFirstColumn="0" w:lastRowLastColumn="0"/>
            <w:tcW w:w="3274" w:type="pct"/>
            <w:hideMark/>
          </w:tcPr>
          <w:p w:rsidR="00AB1D5F" w:rsidRPr="00C91C0F" w:rsidRDefault="00AB1D5F" w:rsidP="00AB1D5F">
            <w:pPr>
              <w:rPr>
                <w:rFonts w:ascii="Times New Roman" w:eastAsia="Times New Roman" w:hAnsi="Times New Roman" w:cs="Times New Roman"/>
                <w:b w:val="0"/>
                <w:color w:val="000000"/>
                <w:sz w:val="20"/>
                <w:lang w:eastAsia="fr-FR"/>
              </w:rPr>
            </w:pPr>
            <w:r w:rsidRPr="00C91C0F">
              <w:rPr>
                <w:rFonts w:ascii="Times New Roman" w:eastAsia="Times New Roman" w:hAnsi="Times New Roman" w:cs="Times New Roman"/>
                <w:b w:val="0"/>
                <w:color w:val="000000"/>
                <w:sz w:val="20"/>
                <w:lang w:eastAsia="fr-FR"/>
              </w:rPr>
              <w:t>Vente à crédit (%)</w:t>
            </w:r>
          </w:p>
        </w:tc>
        <w:tc>
          <w:tcPr>
            <w:tcW w:w="1726" w:type="pct"/>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C91C0F">
              <w:rPr>
                <w:rFonts w:ascii="Times New Roman" w:hAnsi="Times New Roman" w:cs="Times New Roman"/>
                <w:color w:val="000000"/>
                <w:sz w:val="20"/>
              </w:rPr>
              <w:t>59,77</w:t>
            </w:r>
          </w:p>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lang w:eastAsia="fr-FR"/>
              </w:rPr>
            </w:pPr>
          </w:p>
        </w:tc>
      </w:tr>
    </w:tbl>
    <w:p w:rsidR="00AB1D5F" w:rsidRPr="00B423E0" w:rsidRDefault="00AB1D5F" w:rsidP="00AB1D5F">
      <w:pPr>
        <w:spacing w:after="0"/>
        <w:rPr>
          <w:rFonts w:ascii="Times New Roman" w:eastAsia="Calibri" w:hAnsi="Times New Roman" w:cs="Times New Roman"/>
          <w:szCs w:val="28"/>
        </w:rPr>
      </w:pPr>
      <w:r w:rsidRPr="00B423E0">
        <w:rPr>
          <w:rFonts w:ascii="Times New Roman" w:eastAsia="Calibri" w:hAnsi="Times New Roman" w:cs="Times New Roman"/>
          <w:szCs w:val="28"/>
        </w:rPr>
        <w:t>Source : Enquêtes PAPA, 2018</w:t>
      </w:r>
    </w:p>
    <w:p w:rsidR="00AB1D5F" w:rsidRPr="00B423E0" w:rsidRDefault="00AB1D5F" w:rsidP="00C811CC">
      <w:pPr>
        <w:spacing w:after="120"/>
        <w:rPr>
          <w:rFonts w:ascii="Times New Roman" w:eastAsia="Calibri" w:hAnsi="Times New Roman" w:cs="Times New Roman"/>
          <w:szCs w:val="28"/>
        </w:rPr>
      </w:pPr>
      <w:r w:rsidRPr="00B423E0">
        <w:rPr>
          <w:rFonts w:ascii="Times New Roman" w:eastAsia="Calibri" w:hAnsi="Times New Roman" w:cs="Times New Roman"/>
          <w:szCs w:val="28"/>
        </w:rPr>
        <w:t>Note : les proportions dont les sommes dépassent 100% sont calculées à partir de questions à choix multiples.</w:t>
      </w:r>
    </w:p>
    <w:p w:rsidR="00AB1D5F" w:rsidRPr="00B423E0" w:rsidRDefault="00AB1D5F" w:rsidP="00AB1D5F">
      <w:pPr>
        <w:rPr>
          <w:rFonts w:ascii="Times New Roman" w:eastAsiaTheme="majorEastAsia" w:hAnsi="Times New Roman" w:cs="Times New Roman"/>
          <w:color w:val="44546A" w:themeColor="text2"/>
          <w:sz w:val="28"/>
          <w:szCs w:val="26"/>
        </w:rPr>
      </w:pPr>
      <w:r w:rsidRPr="00B423E0">
        <w:rPr>
          <w:rFonts w:ascii="Times New Roman" w:hAnsi="Times New Roman" w:cs="Times New Roman"/>
        </w:rPr>
        <w:br w:type="page"/>
      </w:r>
    </w:p>
    <w:p w:rsidR="00AB1D5F" w:rsidRPr="00B423E0" w:rsidRDefault="00AB1D5F" w:rsidP="00C811CC">
      <w:pPr>
        <w:pStyle w:val="Titre1"/>
        <w:numPr>
          <w:ilvl w:val="0"/>
          <w:numId w:val="12"/>
        </w:numPr>
        <w:rPr>
          <w:rFonts w:cs="Times New Roman"/>
        </w:rPr>
      </w:pPr>
      <w:bookmarkStart w:id="33" w:name="_Toc34730693"/>
      <w:r w:rsidRPr="00B423E0">
        <w:rPr>
          <w:rFonts w:cs="Times New Roman"/>
        </w:rPr>
        <w:lastRenderedPageBreak/>
        <w:t>Comportement du commerce en gros</w:t>
      </w:r>
      <w:bookmarkEnd w:id="33"/>
    </w:p>
    <w:p w:rsidR="00AB1D5F" w:rsidRPr="00385576" w:rsidRDefault="00AB1D5F" w:rsidP="00AB1D5F">
      <w:pPr>
        <w:spacing w:before="120" w:after="120" w:line="360" w:lineRule="auto"/>
        <w:jc w:val="both"/>
        <w:rPr>
          <w:rFonts w:ascii="Times New Roman" w:hAnsi="Times New Roman" w:cs="Times New Roman"/>
          <w:szCs w:val="24"/>
        </w:rPr>
      </w:pPr>
      <w:r w:rsidRPr="00385576">
        <w:rPr>
          <w:rFonts w:ascii="Times New Roman" w:hAnsi="Times New Roman" w:cs="Times New Roman"/>
          <w:szCs w:val="24"/>
        </w:rPr>
        <w:t xml:space="preserve">L’analyse des quantités de céréales vendues montre que le riz est la céréale la plus commercialisée par les entreprises de vente en gros des céréales sèches ; en effet, il représente la majeure partie des approvisionnements en intrants. Le riz blanc brisé importé est le riz le plus acheté par les grossistes. Après le riz, le mil est la céréale la plus achetée, il est d’ailleurs classé après le riz brisé et avant toutes autres catégories de riz </w:t>
      </w:r>
      <w:r w:rsidR="008D2E32">
        <w:rPr>
          <w:rFonts w:ascii="Times New Roman" w:hAnsi="Times New Roman" w:cs="Times New Roman"/>
          <w:szCs w:val="24"/>
        </w:rPr>
        <w:t xml:space="preserve">comme illustré dans la figure </w:t>
      </w:r>
      <w:r w:rsidRPr="00385576">
        <w:rPr>
          <w:rFonts w:ascii="Times New Roman" w:hAnsi="Times New Roman" w:cs="Times New Roman"/>
          <w:szCs w:val="24"/>
        </w:rPr>
        <w:t>4.</w:t>
      </w:r>
    </w:p>
    <w:p w:rsidR="00AB1D5F" w:rsidRPr="00B423E0" w:rsidRDefault="00AB1D5F" w:rsidP="00AB1D5F">
      <w:pPr>
        <w:keepNext/>
        <w:spacing w:before="120" w:after="120" w:line="360" w:lineRule="auto"/>
        <w:jc w:val="both"/>
        <w:rPr>
          <w:rFonts w:ascii="Times New Roman" w:hAnsi="Times New Roman" w:cs="Times New Roman"/>
        </w:rPr>
      </w:pPr>
      <w:r w:rsidRPr="00B423E0">
        <w:rPr>
          <w:rFonts w:ascii="Times New Roman" w:hAnsi="Times New Roman" w:cs="Times New Roman"/>
          <w:noProof/>
          <w:sz w:val="24"/>
          <w:szCs w:val="24"/>
          <w:lang w:eastAsia="fr-FR"/>
        </w:rPr>
        <w:drawing>
          <wp:inline distT="0" distB="0" distL="0" distR="0" wp14:anchorId="51B69A3E" wp14:editId="654817A2">
            <wp:extent cx="5836920" cy="3604260"/>
            <wp:effectExtent l="0" t="0" r="11430" b="15240"/>
            <wp:docPr id="6"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1D5F" w:rsidRPr="00385576" w:rsidRDefault="00AB1D5F" w:rsidP="00AB1D5F">
      <w:pPr>
        <w:pStyle w:val="Lgende"/>
        <w:spacing w:after="0"/>
        <w:jc w:val="both"/>
        <w:rPr>
          <w:rFonts w:cs="Times New Roman"/>
          <w:sz w:val="22"/>
          <w:szCs w:val="22"/>
        </w:rPr>
      </w:pPr>
      <w:bookmarkStart w:id="34" w:name="_Toc34828018"/>
      <w:r w:rsidRPr="00385576">
        <w:rPr>
          <w:rFonts w:cs="Times New Roman"/>
          <w:b/>
          <w:sz w:val="22"/>
          <w:szCs w:val="22"/>
        </w:rPr>
        <w:t xml:space="preserve">Figure </w:t>
      </w:r>
      <w:r w:rsidRPr="00385576">
        <w:rPr>
          <w:rFonts w:cs="Times New Roman"/>
          <w:b/>
          <w:sz w:val="22"/>
          <w:szCs w:val="22"/>
        </w:rPr>
        <w:fldChar w:fldCharType="begin"/>
      </w:r>
      <w:r w:rsidRPr="00385576">
        <w:rPr>
          <w:rFonts w:cs="Times New Roman"/>
          <w:b/>
          <w:sz w:val="22"/>
          <w:szCs w:val="22"/>
        </w:rPr>
        <w:instrText xml:space="preserve"> SEQ Figure \* ARABIC \s 1 </w:instrText>
      </w:r>
      <w:r w:rsidRPr="00385576">
        <w:rPr>
          <w:rFonts w:cs="Times New Roman"/>
          <w:b/>
          <w:sz w:val="22"/>
          <w:szCs w:val="22"/>
        </w:rPr>
        <w:fldChar w:fldCharType="separate"/>
      </w:r>
      <w:r w:rsidRPr="00385576">
        <w:rPr>
          <w:rFonts w:cs="Times New Roman"/>
          <w:b/>
          <w:noProof/>
          <w:sz w:val="22"/>
          <w:szCs w:val="22"/>
        </w:rPr>
        <w:t>4</w:t>
      </w:r>
      <w:r w:rsidRPr="00385576">
        <w:rPr>
          <w:rFonts w:cs="Times New Roman"/>
          <w:b/>
          <w:sz w:val="22"/>
          <w:szCs w:val="22"/>
        </w:rPr>
        <w:fldChar w:fldCharType="end"/>
      </w:r>
      <w:proofErr w:type="gramStart"/>
      <w:r w:rsidRPr="00385576">
        <w:rPr>
          <w:rFonts w:cs="Times New Roman"/>
          <w:sz w:val="22"/>
          <w:szCs w:val="22"/>
        </w:rPr>
        <w:t>:</w:t>
      </w:r>
      <w:bookmarkStart w:id="35" w:name="_Toc1417016"/>
      <w:bookmarkStart w:id="36" w:name="_Toc1484536"/>
      <w:bookmarkStart w:id="37" w:name="_Toc3549253"/>
      <w:r w:rsidRPr="00385576">
        <w:rPr>
          <w:rFonts w:cs="Times New Roman"/>
          <w:b/>
          <w:sz w:val="22"/>
          <w:szCs w:val="22"/>
        </w:rPr>
        <w:t> :</w:t>
      </w:r>
      <w:proofErr w:type="gramEnd"/>
      <w:r w:rsidRPr="00385576">
        <w:rPr>
          <w:rFonts w:cs="Times New Roman"/>
          <w:sz w:val="22"/>
          <w:szCs w:val="22"/>
        </w:rPr>
        <w:t xml:space="preserve"> Quantités totales achetées par commerçant par an (en tonne)</w:t>
      </w:r>
      <w:bookmarkEnd w:id="34"/>
      <w:bookmarkEnd w:id="35"/>
      <w:bookmarkEnd w:id="36"/>
      <w:bookmarkEnd w:id="37"/>
    </w:p>
    <w:p w:rsidR="00AB1D5F" w:rsidRPr="00385576" w:rsidRDefault="00AB1D5F" w:rsidP="00AB1D5F">
      <w:pPr>
        <w:spacing w:after="0"/>
        <w:rPr>
          <w:rFonts w:ascii="Times New Roman" w:hAnsi="Times New Roman" w:cs="Times New Roman"/>
        </w:rPr>
      </w:pPr>
      <w:r w:rsidRPr="00385576">
        <w:rPr>
          <w:rFonts w:ascii="Times New Roman" w:hAnsi="Times New Roman" w:cs="Times New Roman"/>
        </w:rPr>
        <w:t>Source : A partir des données PAPA, 2018</w:t>
      </w:r>
    </w:p>
    <w:p w:rsidR="00AB1D5F" w:rsidRPr="00385576" w:rsidRDefault="00AB1D5F" w:rsidP="00AB1D5F">
      <w:pPr>
        <w:pStyle w:val="RapportPAPA0"/>
        <w:rPr>
          <w:sz w:val="22"/>
          <w:szCs w:val="22"/>
        </w:rPr>
      </w:pPr>
      <w:r w:rsidRPr="00385576">
        <w:rPr>
          <w:sz w:val="22"/>
          <w:szCs w:val="22"/>
        </w:rPr>
        <w:t>Le riz est la céréale la plus consommée au Sénégal à toutes les périodes. Ainsi, l’approvisionnement en riz est indépendant des périodes post-récolte</w:t>
      </w:r>
      <w:r w:rsidR="008D2E32">
        <w:rPr>
          <w:sz w:val="22"/>
          <w:szCs w:val="22"/>
        </w:rPr>
        <w:t xml:space="preserve"> (périodes de pointe) (figure </w:t>
      </w:r>
      <w:r w:rsidRPr="00385576">
        <w:rPr>
          <w:sz w:val="22"/>
          <w:szCs w:val="22"/>
        </w:rPr>
        <w:t>5). De plus en période de pointe, la faiblesse des achats de riz local par rapport à la période creuse pourrait se justifier par le fait que les grossistes achètent de plus grandes quantités de riz local en période creuse pour le stocker. En période de pointe les quantités de mil achetées par les grossistes dépassent celles achetées en riz. Cette tendance s’explique par le fait que le mil est récolté une fois par an (culture pluviale) et pour parer aux manques de produit durant l’année, les grossistes s’en procurent en grande quantité en période de pointe.</w:t>
      </w:r>
      <w:r w:rsidRPr="00385576">
        <w:rPr>
          <w:color w:val="FF0000"/>
          <w:sz w:val="22"/>
          <w:szCs w:val="22"/>
        </w:rPr>
        <w:t xml:space="preserve"> </w:t>
      </w:r>
      <w:r w:rsidRPr="00385576">
        <w:rPr>
          <w:sz w:val="22"/>
          <w:szCs w:val="22"/>
        </w:rPr>
        <w:t>Après le mil, les commerçants s’approvisionnent plus en maïs, puis en sorgho et le fonio reste la céréale sèche la moins achetée, en cohérence avec le faible nombre de commerçants qui le commercialisent.</w:t>
      </w:r>
    </w:p>
    <w:p w:rsidR="00AB1D5F" w:rsidRPr="00B423E0" w:rsidRDefault="00AB1D5F" w:rsidP="00AB1D5F">
      <w:pPr>
        <w:spacing w:after="200" w:line="240" w:lineRule="auto"/>
        <w:rPr>
          <w:rFonts w:ascii="Times New Roman" w:hAnsi="Times New Roman" w:cs="Times New Roman"/>
          <w:sz w:val="24"/>
        </w:rPr>
      </w:pPr>
      <w:r w:rsidRPr="00B423E0">
        <w:rPr>
          <w:rFonts w:ascii="Times New Roman" w:hAnsi="Times New Roman" w:cs="Times New Roman"/>
          <w:noProof/>
          <w:lang w:eastAsia="fr-FR"/>
        </w:rPr>
        <w:lastRenderedPageBreak/>
        <w:drawing>
          <wp:anchor distT="6096" distB="4572" distL="120396" distR="118872" simplePos="0" relativeHeight="251662336" behindDoc="0" locked="0" layoutInCell="1" allowOverlap="1" wp14:anchorId="19BF9D43" wp14:editId="6700CD08">
            <wp:simplePos x="0" y="0"/>
            <wp:positionH relativeFrom="margin">
              <wp:align>center</wp:align>
            </wp:positionH>
            <wp:positionV relativeFrom="paragraph">
              <wp:posOffset>175489</wp:posOffset>
            </wp:positionV>
            <wp:extent cx="5713095" cy="4046220"/>
            <wp:effectExtent l="0" t="0" r="1905" b="11430"/>
            <wp:wrapSquare wrapText="bothSides"/>
            <wp:docPr id="7"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AB1D5F" w:rsidRPr="00385576" w:rsidRDefault="00AB1D5F" w:rsidP="00AB1D5F">
      <w:pPr>
        <w:spacing w:after="0" w:line="240" w:lineRule="auto"/>
        <w:rPr>
          <w:rFonts w:ascii="Times New Roman" w:hAnsi="Times New Roman" w:cs="Times New Roman"/>
        </w:rPr>
      </w:pPr>
      <w:bookmarkStart w:id="38" w:name="_Toc1417017"/>
      <w:bookmarkStart w:id="39" w:name="_Toc1484537"/>
      <w:bookmarkStart w:id="40" w:name="_Toc3549254"/>
      <w:bookmarkStart w:id="41" w:name="_Toc34828019"/>
      <w:r w:rsidRPr="00385576">
        <w:rPr>
          <w:rFonts w:ascii="Times New Roman" w:hAnsi="Times New Roman" w:cs="Times New Roman"/>
          <w:b/>
        </w:rPr>
        <w:t xml:space="preserve">Figure </w:t>
      </w:r>
      <w:r w:rsidRPr="00385576">
        <w:rPr>
          <w:rFonts w:ascii="Times New Roman" w:hAnsi="Times New Roman" w:cs="Times New Roman"/>
          <w:b/>
        </w:rPr>
        <w:fldChar w:fldCharType="begin"/>
      </w:r>
      <w:r w:rsidRPr="00385576">
        <w:rPr>
          <w:rFonts w:ascii="Times New Roman" w:hAnsi="Times New Roman" w:cs="Times New Roman"/>
          <w:b/>
        </w:rPr>
        <w:instrText xml:space="preserve"> SEQ Figure \* ARABIC \s 1 </w:instrText>
      </w:r>
      <w:r w:rsidRPr="00385576">
        <w:rPr>
          <w:rFonts w:ascii="Times New Roman" w:hAnsi="Times New Roman" w:cs="Times New Roman"/>
          <w:b/>
        </w:rPr>
        <w:fldChar w:fldCharType="separate"/>
      </w:r>
      <w:r w:rsidRPr="00385576">
        <w:rPr>
          <w:rFonts w:ascii="Times New Roman" w:hAnsi="Times New Roman" w:cs="Times New Roman"/>
          <w:b/>
          <w:noProof/>
        </w:rPr>
        <w:t>5</w:t>
      </w:r>
      <w:r w:rsidRPr="00385576">
        <w:rPr>
          <w:rFonts w:ascii="Times New Roman" w:hAnsi="Times New Roman" w:cs="Times New Roman"/>
          <w:b/>
        </w:rPr>
        <w:fldChar w:fldCharType="end"/>
      </w:r>
      <w:r w:rsidRPr="00385576">
        <w:rPr>
          <w:rFonts w:ascii="Times New Roman" w:hAnsi="Times New Roman" w:cs="Times New Roman"/>
        </w:rPr>
        <w:t> : Approvisionnement en céréales sur une semaine typique par période</w:t>
      </w:r>
      <w:bookmarkEnd w:id="38"/>
      <w:bookmarkEnd w:id="39"/>
      <w:bookmarkEnd w:id="40"/>
      <w:bookmarkEnd w:id="41"/>
    </w:p>
    <w:p w:rsidR="00AB1D5F" w:rsidRPr="00385576" w:rsidRDefault="00AB1D5F" w:rsidP="00AB1D5F">
      <w:pPr>
        <w:spacing w:after="0" w:line="240" w:lineRule="auto"/>
        <w:rPr>
          <w:rFonts w:ascii="Times New Roman" w:hAnsi="Times New Roman" w:cs="Times New Roman"/>
        </w:rPr>
      </w:pPr>
      <w:r w:rsidRPr="00385576">
        <w:rPr>
          <w:rFonts w:ascii="Times New Roman" w:hAnsi="Times New Roman" w:cs="Times New Roman"/>
        </w:rPr>
        <w:t>Source : Enquêtes PAPA, 2018</w:t>
      </w:r>
    </w:p>
    <w:p w:rsidR="00AB1D5F" w:rsidRPr="00385576" w:rsidRDefault="00AB1D5F" w:rsidP="00AB1D5F">
      <w:pPr>
        <w:pStyle w:val="RapportPAPA"/>
        <w:rPr>
          <w:sz w:val="22"/>
          <w:szCs w:val="22"/>
        </w:rPr>
      </w:pPr>
      <w:r w:rsidRPr="00385576">
        <w:rPr>
          <w:sz w:val="22"/>
          <w:szCs w:val="22"/>
        </w:rPr>
        <w:t>L’évolution des achats de céréales est représentée dans le tableau 1.6. Ainsi, on note auprès de la grande majorité des entreprises de vente en gros, soit 76% d’entre elles, une augmentation dans leurs achats de céréales, en termes de quantité.</w:t>
      </w:r>
    </w:p>
    <w:p w:rsidR="00AB1D5F" w:rsidRPr="00385576" w:rsidRDefault="00AB1D5F" w:rsidP="00C91C0F">
      <w:pPr>
        <w:spacing w:after="0" w:line="360" w:lineRule="auto"/>
        <w:rPr>
          <w:rFonts w:ascii="Times New Roman" w:hAnsi="Times New Roman" w:cs="Times New Roman"/>
          <w:sz w:val="20"/>
        </w:rPr>
      </w:pPr>
      <w:bookmarkStart w:id="42" w:name="_Toc1484425"/>
      <w:bookmarkStart w:id="43" w:name="_Toc3549375"/>
      <w:r w:rsidRPr="00B423E0">
        <w:rPr>
          <w:rFonts w:ascii="Times New Roman" w:hAnsi="Times New Roman" w:cs="Times New Roman"/>
          <w:b/>
          <w:iCs/>
          <w:sz w:val="24"/>
          <w:szCs w:val="24"/>
        </w:rPr>
        <w:t> </w:t>
      </w:r>
      <w:bookmarkStart w:id="44" w:name="_Toc34828001"/>
      <w:bookmarkEnd w:id="42"/>
      <w:bookmarkEnd w:id="43"/>
      <w:r w:rsidRPr="00385576">
        <w:rPr>
          <w:rFonts w:ascii="Times New Roman" w:hAnsi="Times New Roman" w:cs="Times New Roman"/>
          <w:b/>
          <w:szCs w:val="24"/>
        </w:rPr>
        <w:t xml:space="preserve">Tableau </w:t>
      </w:r>
      <w:r w:rsidRPr="00385576">
        <w:rPr>
          <w:rFonts w:ascii="Times New Roman" w:hAnsi="Times New Roman" w:cs="Times New Roman"/>
          <w:b/>
          <w:szCs w:val="24"/>
        </w:rPr>
        <w:fldChar w:fldCharType="begin"/>
      </w:r>
      <w:r w:rsidRPr="00385576">
        <w:rPr>
          <w:rFonts w:ascii="Times New Roman" w:hAnsi="Times New Roman" w:cs="Times New Roman"/>
          <w:b/>
          <w:szCs w:val="24"/>
        </w:rPr>
        <w:instrText xml:space="preserve"> SEQ Tableau \* ARABIC \s 1 </w:instrText>
      </w:r>
      <w:r w:rsidRPr="00385576">
        <w:rPr>
          <w:rFonts w:ascii="Times New Roman" w:hAnsi="Times New Roman" w:cs="Times New Roman"/>
          <w:b/>
          <w:szCs w:val="24"/>
        </w:rPr>
        <w:fldChar w:fldCharType="separate"/>
      </w:r>
      <w:r w:rsidRPr="00385576">
        <w:rPr>
          <w:rFonts w:ascii="Times New Roman" w:hAnsi="Times New Roman" w:cs="Times New Roman"/>
          <w:b/>
          <w:noProof/>
          <w:szCs w:val="24"/>
        </w:rPr>
        <w:t>6</w:t>
      </w:r>
      <w:r w:rsidRPr="00385576">
        <w:rPr>
          <w:rFonts w:ascii="Times New Roman" w:hAnsi="Times New Roman" w:cs="Times New Roman"/>
          <w:b/>
          <w:szCs w:val="24"/>
        </w:rPr>
        <w:fldChar w:fldCharType="end"/>
      </w:r>
      <w:r w:rsidRPr="00385576">
        <w:rPr>
          <w:rFonts w:ascii="Times New Roman" w:hAnsi="Times New Roman" w:cs="Times New Roman"/>
          <w:b/>
          <w:iCs/>
          <w:szCs w:val="24"/>
        </w:rPr>
        <w:t>:</w:t>
      </w:r>
      <w:r w:rsidRPr="00385576">
        <w:rPr>
          <w:rFonts w:ascii="Times New Roman" w:hAnsi="Times New Roman" w:cs="Times New Roman"/>
          <w:iCs/>
          <w:szCs w:val="24"/>
        </w:rPr>
        <w:t xml:space="preserve"> Evolution des approvisionnements</w:t>
      </w:r>
      <w:bookmarkEnd w:id="44"/>
    </w:p>
    <w:tbl>
      <w:tblPr>
        <w:tblStyle w:val="TableauGrille1Clair1"/>
        <w:tblpPr w:leftFromText="141" w:rightFromText="141" w:vertAnchor="text" w:horzAnchor="margin" w:tblpY="21"/>
        <w:tblW w:w="9052" w:type="dxa"/>
        <w:tblLook w:val="04A0" w:firstRow="1" w:lastRow="0" w:firstColumn="1" w:lastColumn="0" w:noHBand="0" w:noVBand="1"/>
      </w:tblPr>
      <w:tblGrid>
        <w:gridCol w:w="4595"/>
        <w:gridCol w:w="4457"/>
      </w:tblGrid>
      <w:tr w:rsidR="00AB1D5F" w:rsidRPr="00C91C0F" w:rsidTr="00C91C0F">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052" w:type="dxa"/>
            <w:gridSpan w:val="2"/>
          </w:tcPr>
          <w:p w:rsidR="00AB1D5F" w:rsidRPr="00C91C0F" w:rsidRDefault="00AB1D5F" w:rsidP="00AB1D5F">
            <w:pPr>
              <w:rPr>
                <w:rFonts w:ascii="Times New Roman" w:eastAsia="Times New Roman" w:hAnsi="Times New Roman" w:cs="Times New Roman"/>
                <w:color w:val="000000"/>
                <w:sz w:val="20"/>
                <w:szCs w:val="24"/>
                <w:lang w:eastAsia="fr-FR"/>
              </w:rPr>
            </w:pPr>
            <w:r w:rsidRPr="00C91C0F">
              <w:rPr>
                <w:rFonts w:ascii="Times New Roman" w:eastAsia="Times New Roman" w:hAnsi="Times New Roman" w:cs="Times New Roman"/>
                <w:color w:val="000000"/>
                <w:sz w:val="20"/>
                <w:szCs w:val="24"/>
                <w:lang w:eastAsia="fr-FR"/>
              </w:rPr>
              <w:t>Evolution du volume des achats de MP par rapport à l'année de démarrage (N=87)</w:t>
            </w:r>
          </w:p>
        </w:tc>
      </w:tr>
      <w:tr w:rsidR="00AB1D5F" w:rsidRPr="00C91C0F" w:rsidTr="00C91C0F">
        <w:trPr>
          <w:trHeight w:val="280"/>
        </w:trPr>
        <w:tc>
          <w:tcPr>
            <w:cnfStyle w:val="001000000000" w:firstRow="0" w:lastRow="0" w:firstColumn="1" w:lastColumn="0" w:oddVBand="0" w:evenVBand="0" w:oddHBand="0" w:evenHBand="0" w:firstRowFirstColumn="0" w:firstRowLastColumn="0" w:lastRowFirstColumn="0" w:lastRowLastColumn="0"/>
            <w:tcW w:w="4595" w:type="dxa"/>
          </w:tcPr>
          <w:p w:rsidR="00AB1D5F" w:rsidRPr="00C91C0F" w:rsidRDefault="00AB1D5F" w:rsidP="00AB1D5F">
            <w:pPr>
              <w:ind w:firstLineChars="400" w:firstLine="803"/>
              <w:rPr>
                <w:rFonts w:ascii="Times New Roman" w:eastAsia="Times New Roman" w:hAnsi="Times New Roman" w:cs="Times New Roman"/>
                <w:color w:val="000000"/>
                <w:sz w:val="20"/>
                <w:szCs w:val="24"/>
                <w:lang w:eastAsia="fr-FR"/>
              </w:rPr>
            </w:pPr>
            <w:r w:rsidRPr="00C91C0F">
              <w:rPr>
                <w:rFonts w:ascii="Times New Roman" w:eastAsia="Times New Roman" w:hAnsi="Times New Roman" w:cs="Times New Roman"/>
                <w:color w:val="000000"/>
                <w:sz w:val="20"/>
                <w:szCs w:val="24"/>
                <w:lang w:eastAsia="fr-FR"/>
              </w:rPr>
              <w:t>Elles sont restées stables</w:t>
            </w:r>
          </w:p>
        </w:tc>
        <w:tc>
          <w:tcPr>
            <w:tcW w:w="4457" w:type="dxa"/>
            <w:vAlign w:val="bottom"/>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fr-FR"/>
              </w:rPr>
            </w:pPr>
            <w:r w:rsidRPr="00C91C0F">
              <w:rPr>
                <w:rFonts w:ascii="Times New Roman" w:hAnsi="Times New Roman" w:cs="Times New Roman"/>
                <w:color w:val="000000"/>
                <w:sz w:val="20"/>
                <w:szCs w:val="24"/>
              </w:rPr>
              <w:t>13</w:t>
            </w:r>
          </w:p>
        </w:tc>
      </w:tr>
      <w:tr w:rsidR="00AB1D5F" w:rsidRPr="00C91C0F" w:rsidTr="00C91C0F">
        <w:trPr>
          <w:trHeight w:val="273"/>
        </w:trPr>
        <w:tc>
          <w:tcPr>
            <w:cnfStyle w:val="001000000000" w:firstRow="0" w:lastRow="0" w:firstColumn="1" w:lastColumn="0" w:oddVBand="0" w:evenVBand="0" w:oddHBand="0" w:evenHBand="0" w:firstRowFirstColumn="0" w:firstRowLastColumn="0" w:lastRowFirstColumn="0" w:lastRowLastColumn="0"/>
            <w:tcW w:w="4595" w:type="dxa"/>
          </w:tcPr>
          <w:p w:rsidR="00AB1D5F" w:rsidRPr="00C91C0F" w:rsidRDefault="00AB1D5F" w:rsidP="00AB1D5F">
            <w:pPr>
              <w:ind w:firstLineChars="400" w:firstLine="803"/>
              <w:rPr>
                <w:rFonts w:ascii="Times New Roman" w:eastAsia="Times New Roman" w:hAnsi="Times New Roman" w:cs="Times New Roman"/>
                <w:color w:val="000000"/>
                <w:sz w:val="20"/>
                <w:szCs w:val="24"/>
                <w:lang w:eastAsia="fr-FR"/>
              </w:rPr>
            </w:pPr>
            <w:r w:rsidRPr="00C91C0F">
              <w:rPr>
                <w:rFonts w:ascii="Times New Roman" w:eastAsia="Times New Roman" w:hAnsi="Times New Roman" w:cs="Times New Roman"/>
                <w:color w:val="000000"/>
                <w:sz w:val="20"/>
                <w:szCs w:val="24"/>
                <w:lang w:eastAsia="fr-FR"/>
              </w:rPr>
              <w:t>Elles ont augmenté</w:t>
            </w:r>
          </w:p>
        </w:tc>
        <w:tc>
          <w:tcPr>
            <w:tcW w:w="4457" w:type="dxa"/>
            <w:vAlign w:val="bottom"/>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fr-FR"/>
              </w:rPr>
            </w:pPr>
            <w:r w:rsidRPr="00C91C0F">
              <w:rPr>
                <w:rFonts w:ascii="Times New Roman" w:hAnsi="Times New Roman" w:cs="Times New Roman"/>
                <w:color w:val="000000"/>
                <w:sz w:val="20"/>
                <w:szCs w:val="24"/>
              </w:rPr>
              <w:t>76</w:t>
            </w:r>
          </w:p>
        </w:tc>
      </w:tr>
      <w:tr w:rsidR="00AB1D5F" w:rsidRPr="00C91C0F" w:rsidTr="00C91C0F">
        <w:trPr>
          <w:trHeight w:val="277"/>
        </w:trPr>
        <w:tc>
          <w:tcPr>
            <w:cnfStyle w:val="001000000000" w:firstRow="0" w:lastRow="0" w:firstColumn="1" w:lastColumn="0" w:oddVBand="0" w:evenVBand="0" w:oddHBand="0" w:evenHBand="0" w:firstRowFirstColumn="0" w:firstRowLastColumn="0" w:lastRowFirstColumn="0" w:lastRowLastColumn="0"/>
            <w:tcW w:w="4595" w:type="dxa"/>
          </w:tcPr>
          <w:p w:rsidR="00AB1D5F" w:rsidRPr="00C91C0F" w:rsidRDefault="00AB1D5F" w:rsidP="00AB1D5F">
            <w:pPr>
              <w:ind w:firstLineChars="400" w:firstLine="803"/>
              <w:rPr>
                <w:rFonts w:ascii="Times New Roman" w:eastAsia="Times New Roman" w:hAnsi="Times New Roman" w:cs="Times New Roman"/>
                <w:color w:val="000000"/>
                <w:sz w:val="20"/>
                <w:szCs w:val="24"/>
                <w:lang w:eastAsia="fr-FR"/>
              </w:rPr>
            </w:pPr>
            <w:r w:rsidRPr="00C91C0F">
              <w:rPr>
                <w:rFonts w:ascii="Times New Roman" w:eastAsia="Times New Roman" w:hAnsi="Times New Roman" w:cs="Times New Roman"/>
                <w:color w:val="000000"/>
                <w:sz w:val="20"/>
                <w:szCs w:val="24"/>
                <w:lang w:eastAsia="fr-FR"/>
              </w:rPr>
              <w:t>Elles ont baissé</w:t>
            </w:r>
          </w:p>
        </w:tc>
        <w:tc>
          <w:tcPr>
            <w:tcW w:w="4457" w:type="dxa"/>
            <w:vAlign w:val="bottom"/>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eastAsia="fr-FR"/>
              </w:rPr>
            </w:pPr>
            <w:r w:rsidRPr="00C91C0F">
              <w:rPr>
                <w:rFonts w:ascii="Times New Roman" w:hAnsi="Times New Roman" w:cs="Times New Roman"/>
                <w:color w:val="000000"/>
                <w:sz w:val="20"/>
                <w:szCs w:val="24"/>
              </w:rPr>
              <w:t>11</w:t>
            </w:r>
          </w:p>
        </w:tc>
      </w:tr>
    </w:tbl>
    <w:p w:rsidR="00AB1D5F" w:rsidRPr="00B423E0" w:rsidRDefault="00AB1D5F" w:rsidP="00AB1D5F">
      <w:pPr>
        <w:spacing w:after="0" w:line="240" w:lineRule="auto"/>
        <w:rPr>
          <w:rFonts w:ascii="Times New Roman" w:hAnsi="Times New Roman" w:cs="Times New Roman"/>
        </w:rPr>
      </w:pPr>
      <w:r w:rsidRPr="00B423E0">
        <w:rPr>
          <w:rFonts w:ascii="Times New Roman" w:hAnsi="Times New Roman" w:cs="Times New Roman"/>
        </w:rPr>
        <w:t>Source : Enquêtes PAPA, 2018</w:t>
      </w:r>
    </w:p>
    <w:p w:rsidR="00AB1D5F" w:rsidRPr="00B423E0" w:rsidRDefault="00AB1D5F" w:rsidP="00AB1D5F">
      <w:pPr>
        <w:pStyle w:val="RapportPAPA"/>
      </w:pPr>
      <w:r w:rsidRPr="00385576">
        <w:rPr>
          <w:sz w:val="22"/>
        </w:rPr>
        <w:t>Afin de s’approvisionner en céréales sèches, tous les commerçants de gros achètent au niveau d’autr</w:t>
      </w:r>
      <w:r w:rsidR="008D2E32">
        <w:rPr>
          <w:sz w:val="22"/>
        </w:rPr>
        <w:t xml:space="preserve">es grossistes locaux (tableau </w:t>
      </w:r>
      <w:r w:rsidRPr="00385576">
        <w:rPr>
          <w:sz w:val="22"/>
        </w:rPr>
        <w:t xml:space="preserve">7). En 2018, une part importante de ces commerçants se procure également 1en céréales sèches au niveau des </w:t>
      </w:r>
      <w:proofErr w:type="spellStart"/>
      <w:r w:rsidRPr="00385576">
        <w:rPr>
          <w:sz w:val="22"/>
        </w:rPr>
        <w:t>bana-bana</w:t>
      </w:r>
      <w:proofErr w:type="spellEnd"/>
      <w:r w:rsidRPr="00385576">
        <w:rPr>
          <w:sz w:val="22"/>
        </w:rPr>
        <w:t xml:space="preserve">, importateurs ou auprès des agriculteurs. Ces choix sont plus ou moins stables du démarrage à maintenant. Durant la campagne 2017/2018, on note que l’approvisionnement auprès des agriculteurs augmente en période de pointe, et décroit en période creuse. La tendance opposée est notée au niveau de l’approvisionnement auprès des importateurs. En effet, il diminue en période de pointe, lorsque les produits locaux sont plus disponibles dans le marché. </w:t>
      </w:r>
      <w:r w:rsidRPr="00B423E0">
        <w:t xml:space="preserve">Les </w:t>
      </w:r>
      <w:r w:rsidRPr="00385576">
        <w:rPr>
          <w:sz w:val="22"/>
        </w:rPr>
        <w:lastRenderedPageBreak/>
        <w:t xml:space="preserve">quantités de céréales achetées auprès de transformateurs sont faibles et elles restent stables entre l’année de démarrage et la campagne 2017/2018. </w:t>
      </w:r>
    </w:p>
    <w:p w:rsidR="00AB1D5F" w:rsidRPr="00385576" w:rsidRDefault="00AB1D5F" w:rsidP="00AB1D5F">
      <w:pPr>
        <w:spacing w:after="200" w:line="240" w:lineRule="auto"/>
        <w:rPr>
          <w:rFonts w:ascii="Times New Roman" w:hAnsi="Times New Roman" w:cs="Times New Roman"/>
          <w:iCs/>
          <w:szCs w:val="18"/>
        </w:rPr>
      </w:pPr>
      <w:bookmarkStart w:id="45" w:name="_Toc3549376"/>
      <w:bookmarkStart w:id="46" w:name="_Toc34828002"/>
      <w:r w:rsidRPr="00385576">
        <w:rPr>
          <w:rFonts w:ascii="Times New Roman" w:hAnsi="Times New Roman" w:cs="Times New Roman"/>
          <w:b/>
          <w:iCs/>
          <w:szCs w:val="18"/>
        </w:rPr>
        <w:t xml:space="preserve">Tableau </w:t>
      </w:r>
      <w:r w:rsidRPr="00385576">
        <w:rPr>
          <w:rFonts w:ascii="Times New Roman" w:hAnsi="Times New Roman" w:cs="Times New Roman"/>
          <w:b/>
          <w:iCs/>
          <w:szCs w:val="18"/>
        </w:rPr>
        <w:fldChar w:fldCharType="begin"/>
      </w:r>
      <w:r w:rsidRPr="00385576">
        <w:rPr>
          <w:rFonts w:ascii="Times New Roman" w:hAnsi="Times New Roman" w:cs="Times New Roman"/>
          <w:b/>
          <w:iCs/>
          <w:szCs w:val="18"/>
        </w:rPr>
        <w:instrText xml:space="preserve"> SEQ Tableau \* ARABIC \s 1 </w:instrText>
      </w:r>
      <w:r w:rsidRPr="00385576">
        <w:rPr>
          <w:rFonts w:ascii="Times New Roman" w:hAnsi="Times New Roman" w:cs="Times New Roman"/>
          <w:b/>
          <w:iCs/>
          <w:szCs w:val="18"/>
        </w:rPr>
        <w:fldChar w:fldCharType="separate"/>
      </w:r>
      <w:r w:rsidRPr="00385576">
        <w:rPr>
          <w:rFonts w:ascii="Times New Roman" w:hAnsi="Times New Roman" w:cs="Times New Roman"/>
          <w:b/>
          <w:iCs/>
          <w:noProof/>
          <w:szCs w:val="18"/>
        </w:rPr>
        <w:t>7</w:t>
      </w:r>
      <w:r w:rsidRPr="00385576">
        <w:rPr>
          <w:rFonts w:ascii="Times New Roman" w:hAnsi="Times New Roman" w:cs="Times New Roman"/>
          <w:b/>
          <w:iCs/>
          <w:szCs w:val="18"/>
        </w:rPr>
        <w:fldChar w:fldCharType="end"/>
      </w:r>
      <w:r w:rsidRPr="00385576">
        <w:rPr>
          <w:rFonts w:ascii="Times New Roman" w:hAnsi="Times New Roman" w:cs="Times New Roman"/>
          <w:iCs/>
          <w:szCs w:val="18"/>
        </w:rPr>
        <w:t> : Types de fournisseurs par période</w:t>
      </w:r>
      <w:bookmarkEnd w:id="45"/>
      <w:bookmarkEnd w:id="46"/>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530"/>
        <w:gridCol w:w="2361"/>
        <w:gridCol w:w="1705"/>
        <w:gridCol w:w="1466"/>
      </w:tblGrid>
      <w:tr w:rsidR="00AB1D5F" w:rsidRPr="00C91C0F" w:rsidTr="00C91C0F">
        <w:trPr>
          <w:trHeight w:val="315"/>
        </w:trPr>
        <w:tc>
          <w:tcPr>
            <w:tcW w:w="2187" w:type="pct"/>
            <w:vMerge w:val="restart"/>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lang w:eastAsia="fr-FR"/>
              </w:rPr>
            </w:pPr>
          </w:p>
        </w:tc>
        <w:tc>
          <w:tcPr>
            <w:tcW w:w="1063" w:type="pct"/>
            <w:vMerge w:val="restart"/>
            <w:shd w:val="clear" w:color="auto" w:fill="auto"/>
            <w:noWrap/>
            <w:hideMark/>
          </w:tcPr>
          <w:p w:rsidR="00AB1D5F" w:rsidRPr="00C91C0F" w:rsidRDefault="00AB1D5F" w:rsidP="00AB1D5F">
            <w:pPr>
              <w:spacing w:after="0" w:line="240" w:lineRule="auto"/>
              <w:jc w:val="center"/>
              <w:rPr>
                <w:rFonts w:ascii="Times New Roman" w:eastAsia="Times New Roman" w:hAnsi="Times New Roman" w:cs="Times New Roman"/>
                <w:b/>
                <w:bCs/>
                <w:color w:val="000000"/>
                <w:sz w:val="20"/>
                <w:lang w:eastAsia="fr-FR"/>
              </w:rPr>
            </w:pPr>
            <w:r w:rsidRPr="00C91C0F">
              <w:rPr>
                <w:rFonts w:ascii="Times New Roman" w:eastAsia="Times New Roman" w:hAnsi="Times New Roman" w:cs="Times New Roman"/>
                <w:b/>
                <w:bCs/>
                <w:color w:val="000000"/>
                <w:sz w:val="20"/>
                <w:lang w:eastAsia="fr-FR"/>
              </w:rPr>
              <w:t>Mois précédent l'enquête</w:t>
            </w:r>
          </w:p>
        </w:tc>
        <w:tc>
          <w:tcPr>
            <w:tcW w:w="1750" w:type="pct"/>
            <w:gridSpan w:val="2"/>
            <w:shd w:val="clear" w:color="auto" w:fill="auto"/>
            <w:noWrap/>
            <w:hideMark/>
          </w:tcPr>
          <w:p w:rsidR="00AB1D5F" w:rsidRPr="00C91C0F" w:rsidRDefault="00AB1D5F" w:rsidP="00AB1D5F">
            <w:pPr>
              <w:spacing w:after="0" w:line="240" w:lineRule="auto"/>
              <w:jc w:val="center"/>
              <w:rPr>
                <w:rFonts w:ascii="Times New Roman" w:eastAsia="Times New Roman" w:hAnsi="Times New Roman" w:cs="Times New Roman"/>
                <w:b/>
                <w:bCs/>
                <w:color w:val="000000"/>
                <w:sz w:val="20"/>
                <w:lang w:eastAsia="fr-FR"/>
              </w:rPr>
            </w:pPr>
            <w:r w:rsidRPr="00C91C0F">
              <w:rPr>
                <w:rFonts w:ascii="Times New Roman" w:eastAsia="Times New Roman" w:hAnsi="Times New Roman" w:cs="Times New Roman"/>
                <w:b/>
                <w:bCs/>
                <w:color w:val="000000"/>
                <w:sz w:val="20"/>
                <w:lang w:eastAsia="fr-FR"/>
              </w:rPr>
              <w:t>2017/2018</w:t>
            </w:r>
          </w:p>
        </w:tc>
      </w:tr>
      <w:tr w:rsidR="00AB1D5F" w:rsidRPr="00C91C0F" w:rsidTr="00C91C0F">
        <w:trPr>
          <w:trHeight w:val="315"/>
        </w:trPr>
        <w:tc>
          <w:tcPr>
            <w:tcW w:w="2187" w:type="pct"/>
            <w:vMerge/>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lang w:eastAsia="fr-FR"/>
              </w:rPr>
            </w:pPr>
          </w:p>
        </w:tc>
        <w:tc>
          <w:tcPr>
            <w:tcW w:w="1063" w:type="pct"/>
            <w:vMerge/>
            <w:shd w:val="clear" w:color="auto" w:fill="auto"/>
            <w:hideMark/>
          </w:tcPr>
          <w:p w:rsidR="00AB1D5F" w:rsidRPr="00C91C0F" w:rsidRDefault="00AB1D5F" w:rsidP="00AB1D5F">
            <w:pPr>
              <w:spacing w:after="0" w:line="240" w:lineRule="auto"/>
              <w:rPr>
                <w:rFonts w:ascii="Times New Roman" w:eastAsia="Times New Roman" w:hAnsi="Times New Roman" w:cs="Times New Roman"/>
                <w:b/>
                <w:bCs/>
                <w:color w:val="000000"/>
                <w:sz w:val="20"/>
                <w:lang w:eastAsia="fr-FR"/>
              </w:rPr>
            </w:pPr>
          </w:p>
        </w:tc>
        <w:tc>
          <w:tcPr>
            <w:tcW w:w="941"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b/>
                <w:bCs/>
                <w:color w:val="000000"/>
                <w:sz w:val="20"/>
                <w:lang w:eastAsia="fr-FR"/>
              </w:rPr>
            </w:pPr>
            <w:r w:rsidRPr="00C91C0F">
              <w:rPr>
                <w:rFonts w:ascii="Times New Roman" w:eastAsia="Times New Roman" w:hAnsi="Times New Roman" w:cs="Times New Roman"/>
                <w:b/>
                <w:bCs/>
                <w:color w:val="000000"/>
                <w:sz w:val="20"/>
                <w:lang w:eastAsia="fr-FR"/>
              </w:rPr>
              <w:t xml:space="preserve">Période de pointe </w:t>
            </w:r>
          </w:p>
        </w:tc>
        <w:tc>
          <w:tcPr>
            <w:tcW w:w="809"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b/>
                <w:bCs/>
                <w:color w:val="000000"/>
                <w:sz w:val="20"/>
                <w:lang w:eastAsia="fr-FR"/>
              </w:rPr>
            </w:pPr>
            <w:r w:rsidRPr="00C91C0F">
              <w:rPr>
                <w:rFonts w:ascii="Times New Roman" w:eastAsia="Times New Roman" w:hAnsi="Times New Roman" w:cs="Times New Roman"/>
                <w:b/>
                <w:bCs/>
                <w:color w:val="000000"/>
                <w:sz w:val="20"/>
                <w:lang w:eastAsia="fr-FR"/>
              </w:rPr>
              <w:t xml:space="preserve">Période creuse </w:t>
            </w:r>
          </w:p>
        </w:tc>
      </w:tr>
      <w:tr w:rsidR="00C91C0F" w:rsidRPr="00C91C0F" w:rsidTr="00C91C0F">
        <w:trPr>
          <w:trHeight w:val="630"/>
        </w:trPr>
        <w:tc>
          <w:tcPr>
            <w:tcW w:w="2187" w:type="pct"/>
            <w:shd w:val="clear" w:color="auto" w:fill="auto"/>
            <w:hideMark/>
          </w:tcPr>
          <w:p w:rsidR="00C91C0F" w:rsidRPr="00C91C0F" w:rsidRDefault="00C91C0F" w:rsidP="00AB1D5F">
            <w:pPr>
              <w:spacing w:after="0" w:line="240" w:lineRule="auto"/>
              <w:rPr>
                <w:rFonts w:ascii="Times New Roman" w:eastAsia="Times New Roman" w:hAnsi="Times New Roman" w:cs="Times New Roman"/>
                <w:b/>
                <w:bCs/>
                <w:color w:val="000000"/>
                <w:sz w:val="20"/>
                <w:lang w:eastAsia="fr-FR"/>
              </w:rPr>
            </w:pPr>
            <w:r w:rsidRPr="00C91C0F">
              <w:rPr>
                <w:rFonts w:ascii="Times New Roman" w:eastAsia="Times New Roman" w:hAnsi="Times New Roman" w:cs="Times New Roman"/>
                <w:b/>
                <w:bCs/>
                <w:color w:val="000000"/>
                <w:sz w:val="20"/>
                <w:lang w:eastAsia="fr-FR"/>
              </w:rPr>
              <w:t>Types de vendeurs (% d'entreprises s'approvisionnant auprès de ces acteurs)</w:t>
            </w:r>
          </w:p>
        </w:tc>
        <w:tc>
          <w:tcPr>
            <w:tcW w:w="2813" w:type="pct"/>
            <w:gridSpan w:val="3"/>
            <w:shd w:val="clear" w:color="auto" w:fill="auto"/>
            <w:noWrap/>
            <w:hideMark/>
          </w:tcPr>
          <w:p w:rsidR="00C91C0F" w:rsidRPr="00C91C0F" w:rsidRDefault="00C91C0F" w:rsidP="00AB1D5F">
            <w:pPr>
              <w:spacing w:after="0" w:line="240" w:lineRule="auto"/>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 </w:t>
            </w:r>
          </w:p>
          <w:p w:rsidR="00C91C0F" w:rsidRPr="00C91C0F" w:rsidRDefault="00C91C0F" w:rsidP="00C91C0F">
            <w:pPr>
              <w:spacing w:after="0" w:line="240" w:lineRule="auto"/>
              <w:jc w:val="center"/>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b/>
                <w:bCs/>
                <w:color w:val="000000"/>
                <w:sz w:val="20"/>
                <w:lang w:eastAsia="fr-FR"/>
              </w:rPr>
              <w:t>N=87</w:t>
            </w:r>
          </w:p>
          <w:p w:rsidR="00C91C0F" w:rsidRPr="00C91C0F" w:rsidRDefault="00C91C0F" w:rsidP="00AB1D5F">
            <w:pPr>
              <w:spacing w:after="0" w:line="240" w:lineRule="auto"/>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 </w:t>
            </w:r>
          </w:p>
        </w:tc>
      </w:tr>
      <w:tr w:rsidR="00AB1D5F" w:rsidRPr="00C91C0F" w:rsidTr="00C91C0F">
        <w:trPr>
          <w:trHeight w:val="315"/>
        </w:trPr>
        <w:tc>
          <w:tcPr>
            <w:tcW w:w="2187"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bCs/>
                <w:color w:val="000000"/>
                <w:sz w:val="20"/>
                <w:lang w:eastAsia="fr-FR"/>
              </w:rPr>
            </w:pPr>
            <w:r w:rsidRPr="00C91C0F">
              <w:rPr>
                <w:rFonts w:ascii="Times New Roman" w:eastAsia="Times New Roman" w:hAnsi="Times New Roman" w:cs="Times New Roman"/>
                <w:bCs/>
                <w:color w:val="000000"/>
                <w:sz w:val="20"/>
                <w:lang w:eastAsia="fr-FR"/>
              </w:rPr>
              <w:t>Agriculteur</w:t>
            </w:r>
          </w:p>
        </w:tc>
        <w:tc>
          <w:tcPr>
            <w:tcW w:w="1063"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35,63</w:t>
            </w:r>
          </w:p>
        </w:tc>
        <w:tc>
          <w:tcPr>
            <w:tcW w:w="941"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41,38</w:t>
            </w:r>
          </w:p>
        </w:tc>
        <w:tc>
          <w:tcPr>
            <w:tcW w:w="809"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35,63</w:t>
            </w:r>
          </w:p>
        </w:tc>
      </w:tr>
      <w:tr w:rsidR="00AB1D5F" w:rsidRPr="00C91C0F" w:rsidTr="00C91C0F">
        <w:trPr>
          <w:trHeight w:val="315"/>
        </w:trPr>
        <w:tc>
          <w:tcPr>
            <w:tcW w:w="2187"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bCs/>
                <w:color w:val="000000"/>
                <w:sz w:val="20"/>
                <w:lang w:eastAsia="fr-FR"/>
              </w:rPr>
            </w:pPr>
            <w:r w:rsidRPr="00C91C0F">
              <w:rPr>
                <w:rFonts w:ascii="Times New Roman" w:eastAsia="Times New Roman" w:hAnsi="Times New Roman" w:cs="Times New Roman"/>
                <w:bCs/>
                <w:color w:val="000000"/>
                <w:sz w:val="20"/>
                <w:lang w:eastAsia="fr-FR"/>
              </w:rPr>
              <w:t>Autre grossiste local</w:t>
            </w:r>
          </w:p>
        </w:tc>
        <w:tc>
          <w:tcPr>
            <w:tcW w:w="1063"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100,00</w:t>
            </w:r>
          </w:p>
        </w:tc>
        <w:tc>
          <w:tcPr>
            <w:tcW w:w="941"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100,00</w:t>
            </w:r>
          </w:p>
        </w:tc>
        <w:tc>
          <w:tcPr>
            <w:tcW w:w="809"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256,32</w:t>
            </w:r>
          </w:p>
        </w:tc>
      </w:tr>
      <w:tr w:rsidR="00AB1D5F" w:rsidRPr="00C91C0F" w:rsidTr="00C91C0F">
        <w:trPr>
          <w:trHeight w:val="315"/>
        </w:trPr>
        <w:tc>
          <w:tcPr>
            <w:tcW w:w="2187"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bCs/>
                <w:color w:val="000000"/>
                <w:sz w:val="20"/>
                <w:lang w:eastAsia="fr-FR"/>
              </w:rPr>
            </w:pPr>
            <w:r w:rsidRPr="00C91C0F">
              <w:rPr>
                <w:rFonts w:ascii="Times New Roman" w:eastAsia="Times New Roman" w:hAnsi="Times New Roman" w:cs="Times New Roman"/>
                <w:bCs/>
                <w:color w:val="000000"/>
                <w:sz w:val="20"/>
                <w:lang w:eastAsia="fr-FR"/>
              </w:rPr>
              <w:t>Transformateurs</w:t>
            </w:r>
          </w:p>
        </w:tc>
        <w:tc>
          <w:tcPr>
            <w:tcW w:w="1063"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5,75</w:t>
            </w:r>
          </w:p>
        </w:tc>
        <w:tc>
          <w:tcPr>
            <w:tcW w:w="941"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4,60</w:t>
            </w:r>
          </w:p>
        </w:tc>
        <w:tc>
          <w:tcPr>
            <w:tcW w:w="809"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5,75</w:t>
            </w:r>
          </w:p>
        </w:tc>
      </w:tr>
      <w:tr w:rsidR="00AB1D5F" w:rsidRPr="00C91C0F" w:rsidTr="00C91C0F">
        <w:trPr>
          <w:trHeight w:val="315"/>
        </w:trPr>
        <w:tc>
          <w:tcPr>
            <w:tcW w:w="2187"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bCs/>
                <w:color w:val="000000"/>
                <w:sz w:val="20"/>
                <w:lang w:eastAsia="fr-FR"/>
              </w:rPr>
            </w:pPr>
            <w:r w:rsidRPr="00C91C0F">
              <w:rPr>
                <w:rFonts w:ascii="Times New Roman" w:eastAsia="Times New Roman" w:hAnsi="Times New Roman" w:cs="Times New Roman"/>
                <w:bCs/>
                <w:color w:val="000000"/>
                <w:sz w:val="20"/>
                <w:lang w:eastAsia="fr-FR"/>
              </w:rPr>
              <w:t>Autre détaillant local</w:t>
            </w:r>
          </w:p>
        </w:tc>
        <w:tc>
          <w:tcPr>
            <w:tcW w:w="1063"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6,90</w:t>
            </w:r>
          </w:p>
        </w:tc>
        <w:tc>
          <w:tcPr>
            <w:tcW w:w="941"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6,90</w:t>
            </w:r>
          </w:p>
        </w:tc>
        <w:tc>
          <w:tcPr>
            <w:tcW w:w="809"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6,90</w:t>
            </w:r>
          </w:p>
        </w:tc>
      </w:tr>
      <w:tr w:rsidR="00AB1D5F" w:rsidRPr="00C91C0F" w:rsidTr="00C91C0F">
        <w:trPr>
          <w:trHeight w:val="315"/>
        </w:trPr>
        <w:tc>
          <w:tcPr>
            <w:tcW w:w="2187"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bCs/>
                <w:color w:val="000000"/>
                <w:sz w:val="20"/>
                <w:lang w:eastAsia="fr-FR"/>
              </w:rPr>
            </w:pPr>
            <w:r w:rsidRPr="00C91C0F">
              <w:rPr>
                <w:rFonts w:ascii="Times New Roman" w:eastAsia="Times New Roman" w:hAnsi="Times New Roman" w:cs="Times New Roman"/>
                <w:bCs/>
                <w:color w:val="000000"/>
                <w:sz w:val="20"/>
                <w:lang w:eastAsia="fr-FR"/>
              </w:rPr>
              <w:t>Importateurs</w:t>
            </w:r>
          </w:p>
        </w:tc>
        <w:tc>
          <w:tcPr>
            <w:tcW w:w="1063"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66,67</w:t>
            </w:r>
          </w:p>
        </w:tc>
        <w:tc>
          <w:tcPr>
            <w:tcW w:w="941"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68,97</w:t>
            </w:r>
          </w:p>
        </w:tc>
        <w:tc>
          <w:tcPr>
            <w:tcW w:w="809"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71,26</w:t>
            </w:r>
          </w:p>
        </w:tc>
      </w:tr>
      <w:tr w:rsidR="00AB1D5F" w:rsidRPr="00C91C0F" w:rsidTr="00C91C0F">
        <w:trPr>
          <w:trHeight w:val="315"/>
        </w:trPr>
        <w:tc>
          <w:tcPr>
            <w:tcW w:w="2187"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bCs/>
                <w:color w:val="000000"/>
                <w:sz w:val="20"/>
                <w:lang w:eastAsia="fr-FR"/>
              </w:rPr>
            </w:pPr>
            <w:r w:rsidRPr="00C91C0F">
              <w:rPr>
                <w:rFonts w:ascii="Times New Roman" w:eastAsia="Times New Roman" w:hAnsi="Times New Roman" w:cs="Times New Roman"/>
                <w:bCs/>
                <w:color w:val="000000"/>
                <w:sz w:val="20"/>
                <w:lang w:eastAsia="fr-FR"/>
              </w:rPr>
              <w:t>Production propre</w:t>
            </w:r>
          </w:p>
        </w:tc>
        <w:tc>
          <w:tcPr>
            <w:tcW w:w="1063"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0,00</w:t>
            </w:r>
          </w:p>
        </w:tc>
        <w:tc>
          <w:tcPr>
            <w:tcW w:w="941"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2,30</w:t>
            </w:r>
          </w:p>
        </w:tc>
        <w:tc>
          <w:tcPr>
            <w:tcW w:w="809"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1,15</w:t>
            </w:r>
          </w:p>
        </w:tc>
      </w:tr>
      <w:tr w:rsidR="00AB1D5F" w:rsidRPr="00C91C0F" w:rsidTr="00C91C0F">
        <w:trPr>
          <w:trHeight w:val="315"/>
        </w:trPr>
        <w:tc>
          <w:tcPr>
            <w:tcW w:w="2187"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bCs/>
                <w:color w:val="000000"/>
                <w:sz w:val="20"/>
                <w:lang w:eastAsia="fr-FR"/>
              </w:rPr>
            </w:pPr>
            <w:proofErr w:type="spellStart"/>
            <w:r w:rsidRPr="00C91C0F">
              <w:rPr>
                <w:rFonts w:ascii="Times New Roman" w:eastAsia="Times New Roman" w:hAnsi="Times New Roman" w:cs="Times New Roman"/>
                <w:bCs/>
                <w:color w:val="000000"/>
                <w:sz w:val="20"/>
                <w:lang w:eastAsia="fr-FR"/>
              </w:rPr>
              <w:t>Bana-bana</w:t>
            </w:r>
            <w:proofErr w:type="spellEnd"/>
          </w:p>
        </w:tc>
        <w:tc>
          <w:tcPr>
            <w:tcW w:w="1063"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86,21</w:t>
            </w:r>
          </w:p>
        </w:tc>
        <w:tc>
          <w:tcPr>
            <w:tcW w:w="941"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91,95</w:t>
            </w:r>
          </w:p>
        </w:tc>
        <w:tc>
          <w:tcPr>
            <w:tcW w:w="809"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88,51</w:t>
            </w:r>
          </w:p>
        </w:tc>
      </w:tr>
      <w:tr w:rsidR="00AB1D5F" w:rsidRPr="00C91C0F" w:rsidTr="00C91C0F">
        <w:trPr>
          <w:trHeight w:val="315"/>
        </w:trPr>
        <w:tc>
          <w:tcPr>
            <w:tcW w:w="2187" w:type="pct"/>
            <w:shd w:val="clear" w:color="auto" w:fill="auto"/>
            <w:noWrap/>
            <w:hideMark/>
          </w:tcPr>
          <w:p w:rsidR="00AB1D5F" w:rsidRPr="00C91C0F" w:rsidRDefault="00AB1D5F" w:rsidP="00AB1D5F">
            <w:pPr>
              <w:spacing w:after="0" w:line="240" w:lineRule="auto"/>
              <w:rPr>
                <w:rFonts w:ascii="Times New Roman" w:eastAsia="Times New Roman" w:hAnsi="Times New Roman" w:cs="Times New Roman"/>
                <w:bCs/>
                <w:color w:val="000000"/>
                <w:sz w:val="20"/>
                <w:lang w:eastAsia="fr-FR"/>
              </w:rPr>
            </w:pPr>
            <w:r w:rsidRPr="00C91C0F">
              <w:rPr>
                <w:rFonts w:ascii="Times New Roman" w:eastAsia="Times New Roman" w:hAnsi="Times New Roman" w:cs="Times New Roman"/>
                <w:bCs/>
                <w:color w:val="000000"/>
                <w:sz w:val="20"/>
                <w:lang w:eastAsia="fr-FR"/>
              </w:rPr>
              <w:t>Autre</w:t>
            </w:r>
          </w:p>
        </w:tc>
        <w:tc>
          <w:tcPr>
            <w:tcW w:w="1063"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1,15</w:t>
            </w:r>
          </w:p>
        </w:tc>
        <w:tc>
          <w:tcPr>
            <w:tcW w:w="941"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1,15</w:t>
            </w:r>
          </w:p>
        </w:tc>
        <w:tc>
          <w:tcPr>
            <w:tcW w:w="809" w:type="pct"/>
            <w:shd w:val="clear" w:color="auto" w:fill="auto"/>
            <w:noWrap/>
            <w:hideMark/>
          </w:tcPr>
          <w:p w:rsidR="00AB1D5F" w:rsidRPr="00C91C0F" w:rsidRDefault="00AB1D5F" w:rsidP="00AB1D5F">
            <w:pPr>
              <w:spacing w:after="0" w:line="240" w:lineRule="auto"/>
              <w:jc w:val="right"/>
              <w:rPr>
                <w:rFonts w:ascii="Times New Roman" w:eastAsia="Times New Roman" w:hAnsi="Times New Roman" w:cs="Times New Roman"/>
                <w:color w:val="000000"/>
                <w:sz w:val="20"/>
                <w:lang w:eastAsia="fr-FR"/>
              </w:rPr>
            </w:pPr>
            <w:r w:rsidRPr="00C91C0F">
              <w:rPr>
                <w:rFonts w:ascii="Times New Roman" w:eastAsia="Times New Roman" w:hAnsi="Times New Roman" w:cs="Times New Roman"/>
                <w:color w:val="000000"/>
                <w:sz w:val="20"/>
                <w:lang w:eastAsia="fr-FR"/>
              </w:rPr>
              <w:t>0,00</w:t>
            </w:r>
          </w:p>
        </w:tc>
      </w:tr>
    </w:tbl>
    <w:p w:rsidR="00AB1D5F" w:rsidRPr="00385576" w:rsidRDefault="00AB1D5F" w:rsidP="00AB1D5F">
      <w:pPr>
        <w:spacing w:after="0"/>
        <w:rPr>
          <w:rFonts w:ascii="Times New Roman" w:hAnsi="Times New Roman" w:cs="Times New Roman"/>
        </w:rPr>
      </w:pPr>
      <w:r w:rsidRPr="00385576">
        <w:rPr>
          <w:rFonts w:ascii="Times New Roman" w:hAnsi="Times New Roman" w:cs="Times New Roman"/>
        </w:rPr>
        <w:t>Source : Enquête PAPA, 2018</w:t>
      </w:r>
    </w:p>
    <w:p w:rsidR="00AB1D5F" w:rsidRPr="00385576" w:rsidRDefault="00AB1D5F" w:rsidP="00AB1D5F">
      <w:pPr>
        <w:spacing w:after="120"/>
        <w:rPr>
          <w:rFonts w:ascii="Times New Roman" w:eastAsia="Calibri" w:hAnsi="Times New Roman" w:cs="Times New Roman"/>
        </w:rPr>
      </w:pPr>
      <w:r w:rsidRPr="00385576">
        <w:rPr>
          <w:rFonts w:ascii="Times New Roman" w:eastAsia="Calibri" w:hAnsi="Times New Roman" w:cs="Times New Roman"/>
        </w:rPr>
        <w:t>Note : les proportions dont les sommes dépassent 100% sont calculées à partir de questions à choix multiples.</w:t>
      </w:r>
    </w:p>
    <w:p w:rsidR="00AB1D5F" w:rsidRPr="00385576" w:rsidRDefault="00AB1D5F" w:rsidP="00AB1D5F">
      <w:pPr>
        <w:pStyle w:val="RapportPAPA"/>
        <w:rPr>
          <w:sz w:val="22"/>
          <w:szCs w:val="22"/>
        </w:rPr>
      </w:pPr>
      <w:r w:rsidRPr="00385576">
        <w:rPr>
          <w:sz w:val="22"/>
          <w:szCs w:val="22"/>
        </w:rPr>
        <w:t>Selon la céréale à acheter, le type de fournisseurs varie. Ainsi pour toutes les céréales, co</w:t>
      </w:r>
      <w:r w:rsidR="008D2E32">
        <w:rPr>
          <w:sz w:val="22"/>
          <w:szCs w:val="22"/>
        </w:rPr>
        <w:t xml:space="preserve">mme explicité dans le tableau </w:t>
      </w:r>
      <w:r w:rsidRPr="00385576">
        <w:rPr>
          <w:sz w:val="22"/>
          <w:szCs w:val="22"/>
        </w:rPr>
        <w:t xml:space="preserve">8, les achats auprès d’autres grossistes puis auprès des </w:t>
      </w:r>
      <w:proofErr w:type="spellStart"/>
      <w:r w:rsidRPr="00385576">
        <w:rPr>
          <w:sz w:val="22"/>
          <w:szCs w:val="22"/>
        </w:rPr>
        <w:t>bana-bana</w:t>
      </w:r>
      <w:proofErr w:type="spellEnd"/>
      <w:r w:rsidRPr="00385576">
        <w:rPr>
          <w:sz w:val="22"/>
          <w:szCs w:val="22"/>
        </w:rPr>
        <w:t xml:space="preserve"> sont plus fréquents. Les grossistes se procurent également en mil, maïs et sorgho directement après des producteurs. Ils achètent également du fonio et du maïs au niveau des importateurs. </w:t>
      </w:r>
    </w:p>
    <w:p w:rsidR="00AB1D5F" w:rsidRPr="00385576" w:rsidRDefault="00AB1D5F" w:rsidP="00AB1D5F">
      <w:pPr>
        <w:spacing w:after="120" w:line="240" w:lineRule="auto"/>
        <w:rPr>
          <w:rFonts w:ascii="Times New Roman" w:hAnsi="Times New Roman" w:cs="Times New Roman"/>
          <w:iCs/>
        </w:rPr>
      </w:pPr>
      <w:bookmarkStart w:id="47" w:name="_Toc3549377"/>
      <w:bookmarkStart w:id="48" w:name="_Toc34828003"/>
      <w:r w:rsidRPr="00385576">
        <w:rPr>
          <w:rFonts w:ascii="Times New Roman" w:hAnsi="Times New Roman" w:cs="Times New Roman"/>
          <w:b/>
          <w:iCs/>
        </w:rPr>
        <w:t xml:space="preserve">Tableau </w:t>
      </w:r>
      <w:r w:rsidRPr="00385576">
        <w:rPr>
          <w:rFonts w:ascii="Times New Roman" w:hAnsi="Times New Roman" w:cs="Times New Roman"/>
          <w:b/>
          <w:iCs/>
        </w:rPr>
        <w:fldChar w:fldCharType="begin"/>
      </w:r>
      <w:r w:rsidRPr="00385576">
        <w:rPr>
          <w:rFonts w:ascii="Times New Roman" w:hAnsi="Times New Roman" w:cs="Times New Roman"/>
          <w:b/>
          <w:iCs/>
        </w:rPr>
        <w:instrText xml:space="preserve"> SEQ Tableau \* ARABIC \s 1 </w:instrText>
      </w:r>
      <w:r w:rsidRPr="00385576">
        <w:rPr>
          <w:rFonts w:ascii="Times New Roman" w:hAnsi="Times New Roman" w:cs="Times New Roman"/>
          <w:b/>
          <w:iCs/>
        </w:rPr>
        <w:fldChar w:fldCharType="separate"/>
      </w:r>
      <w:r w:rsidRPr="00385576">
        <w:rPr>
          <w:rFonts w:ascii="Times New Roman" w:hAnsi="Times New Roman" w:cs="Times New Roman"/>
          <w:b/>
          <w:iCs/>
          <w:noProof/>
        </w:rPr>
        <w:t>8</w:t>
      </w:r>
      <w:r w:rsidRPr="00385576">
        <w:rPr>
          <w:rFonts w:ascii="Times New Roman" w:hAnsi="Times New Roman" w:cs="Times New Roman"/>
          <w:b/>
          <w:iCs/>
        </w:rPr>
        <w:fldChar w:fldCharType="end"/>
      </w:r>
      <w:r w:rsidRPr="00385576">
        <w:rPr>
          <w:rFonts w:ascii="Times New Roman" w:hAnsi="Times New Roman" w:cs="Times New Roman"/>
          <w:b/>
          <w:iCs/>
        </w:rPr>
        <w:t> :</w:t>
      </w:r>
      <w:r w:rsidRPr="00385576">
        <w:rPr>
          <w:rFonts w:ascii="Times New Roman" w:hAnsi="Times New Roman" w:cs="Times New Roman"/>
          <w:iCs/>
        </w:rPr>
        <w:t xml:space="preserve"> Type de fournisseurs par spéculation</w:t>
      </w:r>
      <w:bookmarkEnd w:id="47"/>
      <w:bookmarkEnd w:id="48"/>
      <w:r w:rsidRPr="00385576">
        <w:rPr>
          <w:rFonts w:ascii="Times New Roman" w:hAnsi="Times New Roman" w:cs="Times New Roman"/>
          <w:iCs/>
        </w:rPr>
        <w:t xml:space="preserve"> </w:t>
      </w:r>
    </w:p>
    <w:tbl>
      <w:tblPr>
        <w:tblStyle w:val="Grilledutableau"/>
        <w:tblW w:w="0" w:type="auto"/>
        <w:tblLook w:val="04A0" w:firstRow="1" w:lastRow="0" w:firstColumn="1" w:lastColumn="0" w:noHBand="0" w:noVBand="1"/>
      </w:tblPr>
      <w:tblGrid>
        <w:gridCol w:w="1319"/>
        <w:gridCol w:w="1137"/>
        <w:gridCol w:w="900"/>
        <w:gridCol w:w="1567"/>
        <w:gridCol w:w="1086"/>
        <w:gridCol w:w="1270"/>
        <w:gridCol w:w="1096"/>
        <w:gridCol w:w="687"/>
      </w:tblGrid>
      <w:tr w:rsidR="00385576" w:rsidRPr="00C91C0F" w:rsidTr="00385576">
        <w:trPr>
          <w:trHeight w:val="235"/>
        </w:trPr>
        <w:tc>
          <w:tcPr>
            <w:tcW w:w="1413" w:type="dxa"/>
            <w:noWrap/>
            <w:hideMark/>
          </w:tcPr>
          <w:p w:rsidR="00AB1D5F" w:rsidRPr="00C91C0F" w:rsidRDefault="00AB1D5F" w:rsidP="00AB1D5F">
            <w:pPr>
              <w:rPr>
                <w:rFonts w:ascii="Times New Roman" w:hAnsi="Times New Roman" w:cs="Times New Roman"/>
                <w:sz w:val="20"/>
              </w:rPr>
            </w:pPr>
          </w:p>
        </w:tc>
        <w:tc>
          <w:tcPr>
            <w:tcW w:w="910" w:type="dxa"/>
            <w:noWrap/>
            <w:hideMark/>
          </w:tcPr>
          <w:p w:rsidR="00AB1D5F" w:rsidRPr="00C91C0F" w:rsidRDefault="00AB1D5F" w:rsidP="00AB1D5F">
            <w:pPr>
              <w:rPr>
                <w:rFonts w:ascii="Times New Roman" w:hAnsi="Times New Roman" w:cs="Times New Roman"/>
                <w:b/>
                <w:bCs/>
                <w:iCs/>
                <w:sz w:val="20"/>
              </w:rPr>
            </w:pPr>
            <w:r w:rsidRPr="00C91C0F">
              <w:rPr>
                <w:rFonts w:ascii="Times New Roman" w:hAnsi="Times New Roman" w:cs="Times New Roman"/>
                <w:b/>
                <w:bCs/>
                <w:iCs/>
                <w:sz w:val="20"/>
              </w:rPr>
              <w:t>Agriculteur</w:t>
            </w:r>
          </w:p>
        </w:tc>
        <w:tc>
          <w:tcPr>
            <w:tcW w:w="959" w:type="dxa"/>
            <w:noWrap/>
            <w:hideMark/>
          </w:tcPr>
          <w:p w:rsidR="00AB1D5F" w:rsidRPr="00C91C0F" w:rsidRDefault="00AB1D5F" w:rsidP="00AB1D5F">
            <w:pPr>
              <w:rPr>
                <w:rFonts w:ascii="Times New Roman" w:hAnsi="Times New Roman" w:cs="Times New Roman"/>
                <w:b/>
                <w:bCs/>
                <w:iCs/>
                <w:sz w:val="20"/>
              </w:rPr>
            </w:pPr>
            <w:r w:rsidRPr="00C91C0F">
              <w:rPr>
                <w:rFonts w:ascii="Times New Roman" w:hAnsi="Times New Roman" w:cs="Times New Roman"/>
                <w:b/>
                <w:bCs/>
                <w:iCs/>
                <w:sz w:val="20"/>
              </w:rPr>
              <w:t>Autre grossiste local</w:t>
            </w:r>
          </w:p>
        </w:tc>
        <w:tc>
          <w:tcPr>
            <w:tcW w:w="1566" w:type="dxa"/>
            <w:noWrap/>
            <w:hideMark/>
          </w:tcPr>
          <w:p w:rsidR="00AB1D5F" w:rsidRPr="00C91C0F" w:rsidRDefault="00AB1D5F" w:rsidP="00AB1D5F">
            <w:pPr>
              <w:rPr>
                <w:rFonts w:ascii="Times New Roman" w:hAnsi="Times New Roman" w:cs="Times New Roman"/>
                <w:b/>
                <w:bCs/>
                <w:iCs/>
                <w:sz w:val="20"/>
              </w:rPr>
            </w:pPr>
            <w:r w:rsidRPr="00C91C0F">
              <w:rPr>
                <w:rFonts w:ascii="Times New Roman" w:hAnsi="Times New Roman" w:cs="Times New Roman"/>
                <w:b/>
                <w:bCs/>
                <w:iCs/>
                <w:sz w:val="20"/>
              </w:rPr>
              <w:t>Transformateurs</w:t>
            </w:r>
          </w:p>
        </w:tc>
        <w:tc>
          <w:tcPr>
            <w:tcW w:w="1161" w:type="dxa"/>
            <w:noWrap/>
            <w:hideMark/>
          </w:tcPr>
          <w:p w:rsidR="00AB1D5F" w:rsidRPr="00C91C0F" w:rsidRDefault="00AB1D5F" w:rsidP="00AB1D5F">
            <w:pPr>
              <w:rPr>
                <w:rFonts w:ascii="Times New Roman" w:hAnsi="Times New Roman" w:cs="Times New Roman"/>
                <w:b/>
                <w:bCs/>
                <w:iCs/>
                <w:sz w:val="20"/>
              </w:rPr>
            </w:pPr>
            <w:r w:rsidRPr="00C91C0F">
              <w:rPr>
                <w:rFonts w:ascii="Times New Roman" w:hAnsi="Times New Roman" w:cs="Times New Roman"/>
                <w:b/>
                <w:bCs/>
                <w:iCs/>
                <w:sz w:val="20"/>
              </w:rPr>
              <w:t>Autre détaillant local</w:t>
            </w:r>
          </w:p>
        </w:tc>
        <w:tc>
          <w:tcPr>
            <w:tcW w:w="1270" w:type="dxa"/>
            <w:noWrap/>
            <w:hideMark/>
          </w:tcPr>
          <w:p w:rsidR="00AB1D5F" w:rsidRPr="00C91C0F" w:rsidRDefault="00AB1D5F" w:rsidP="00AB1D5F">
            <w:pPr>
              <w:rPr>
                <w:rFonts w:ascii="Times New Roman" w:hAnsi="Times New Roman" w:cs="Times New Roman"/>
                <w:b/>
                <w:bCs/>
                <w:iCs/>
                <w:sz w:val="20"/>
              </w:rPr>
            </w:pPr>
            <w:r w:rsidRPr="00C91C0F">
              <w:rPr>
                <w:rFonts w:ascii="Times New Roman" w:hAnsi="Times New Roman" w:cs="Times New Roman"/>
                <w:b/>
                <w:bCs/>
                <w:iCs/>
                <w:sz w:val="20"/>
              </w:rPr>
              <w:t>Importateurs</w:t>
            </w:r>
          </w:p>
        </w:tc>
        <w:tc>
          <w:tcPr>
            <w:tcW w:w="1096" w:type="dxa"/>
            <w:noWrap/>
            <w:hideMark/>
          </w:tcPr>
          <w:p w:rsidR="00AB1D5F" w:rsidRPr="00C91C0F" w:rsidRDefault="00AB1D5F" w:rsidP="00AB1D5F">
            <w:pPr>
              <w:rPr>
                <w:rFonts w:ascii="Times New Roman" w:hAnsi="Times New Roman" w:cs="Times New Roman"/>
                <w:b/>
                <w:bCs/>
                <w:iCs/>
                <w:sz w:val="20"/>
              </w:rPr>
            </w:pPr>
            <w:r w:rsidRPr="00C91C0F">
              <w:rPr>
                <w:rFonts w:ascii="Times New Roman" w:hAnsi="Times New Roman" w:cs="Times New Roman"/>
                <w:b/>
                <w:bCs/>
                <w:iCs/>
                <w:sz w:val="20"/>
              </w:rPr>
              <w:t>Production propre</w:t>
            </w:r>
          </w:p>
        </w:tc>
        <w:tc>
          <w:tcPr>
            <w:tcW w:w="687" w:type="dxa"/>
            <w:noWrap/>
            <w:hideMark/>
          </w:tcPr>
          <w:p w:rsidR="00AB1D5F" w:rsidRPr="00C91C0F" w:rsidRDefault="00AB1D5F" w:rsidP="00AB1D5F">
            <w:pPr>
              <w:rPr>
                <w:rFonts w:ascii="Times New Roman" w:hAnsi="Times New Roman" w:cs="Times New Roman"/>
                <w:b/>
                <w:bCs/>
                <w:iCs/>
                <w:sz w:val="20"/>
              </w:rPr>
            </w:pPr>
            <w:proofErr w:type="spellStart"/>
            <w:r w:rsidRPr="00C91C0F">
              <w:rPr>
                <w:rFonts w:ascii="Times New Roman" w:hAnsi="Times New Roman" w:cs="Times New Roman"/>
                <w:b/>
                <w:bCs/>
                <w:iCs/>
                <w:sz w:val="20"/>
              </w:rPr>
              <w:t>Bana-bana</w:t>
            </w:r>
            <w:proofErr w:type="spellEnd"/>
          </w:p>
        </w:tc>
      </w:tr>
      <w:tr w:rsidR="00385576" w:rsidRPr="00C91C0F" w:rsidTr="00385576">
        <w:trPr>
          <w:trHeight w:val="72"/>
        </w:trPr>
        <w:tc>
          <w:tcPr>
            <w:tcW w:w="1413"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 xml:space="preserve">Mil </w:t>
            </w:r>
            <w:proofErr w:type="gramStart"/>
            <w:r w:rsidRPr="00C91C0F">
              <w:rPr>
                <w:rFonts w:ascii="Times New Roman" w:hAnsi="Times New Roman" w:cs="Times New Roman"/>
                <w:sz w:val="20"/>
              </w:rPr>
              <w:t>grain</w:t>
            </w:r>
            <w:proofErr w:type="gramEnd"/>
          </w:p>
        </w:tc>
        <w:tc>
          <w:tcPr>
            <w:tcW w:w="910"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24,49</w:t>
            </w:r>
          </w:p>
        </w:tc>
        <w:tc>
          <w:tcPr>
            <w:tcW w:w="959"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57,14</w:t>
            </w:r>
          </w:p>
        </w:tc>
        <w:tc>
          <w:tcPr>
            <w:tcW w:w="1566"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2,04</w:t>
            </w:r>
          </w:p>
        </w:tc>
        <w:tc>
          <w:tcPr>
            <w:tcW w:w="1161"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6,12</w:t>
            </w:r>
          </w:p>
        </w:tc>
        <w:tc>
          <w:tcPr>
            <w:tcW w:w="1270"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0,00</w:t>
            </w:r>
          </w:p>
        </w:tc>
        <w:tc>
          <w:tcPr>
            <w:tcW w:w="1096"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0,00</w:t>
            </w:r>
          </w:p>
        </w:tc>
        <w:tc>
          <w:tcPr>
            <w:tcW w:w="687"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34,69</w:t>
            </w:r>
          </w:p>
        </w:tc>
      </w:tr>
      <w:tr w:rsidR="00385576" w:rsidRPr="00C91C0F" w:rsidTr="00385576">
        <w:trPr>
          <w:trHeight w:val="72"/>
        </w:trPr>
        <w:tc>
          <w:tcPr>
            <w:tcW w:w="1413"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Sorgho grain</w:t>
            </w:r>
          </w:p>
        </w:tc>
        <w:tc>
          <w:tcPr>
            <w:tcW w:w="910"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21,74</w:t>
            </w:r>
          </w:p>
        </w:tc>
        <w:tc>
          <w:tcPr>
            <w:tcW w:w="959"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39,13</w:t>
            </w:r>
          </w:p>
        </w:tc>
        <w:tc>
          <w:tcPr>
            <w:tcW w:w="1566"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0,00</w:t>
            </w:r>
          </w:p>
        </w:tc>
        <w:tc>
          <w:tcPr>
            <w:tcW w:w="1161"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4,35</w:t>
            </w:r>
          </w:p>
        </w:tc>
        <w:tc>
          <w:tcPr>
            <w:tcW w:w="1270"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0,00</w:t>
            </w:r>
          </w:p>
        </w:tc>
        <w:tc>
          <w:tcPr>
            <w:tcW w:w="1096"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0,00</w:t>
            </w:r>
          </w:p>
        </w:tc>
        <w:tc>
          <w:tcPr>
            <w:tcW w:w="687"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30,43</w:t>
            </w:r>
          </w:p>
        </w:tc>
      </w:tr>
      <w:tr w:rsidR="00385576" w:rsidRPr="00C91C0F" w:rsidTr="00385576">
        <w:trPr>
          <w:trHeight w:val="72"/>
        </w:trPr>
        <w:tc>
          <w:tcPr>
            <w:tcW w:w="1413"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Maïs grain</w:t>
            </w:r>
          </w:p>
        </w:tc>
        <w:tc>
          <w:tcPr>
            <w:tcW w:w="910"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20,83</w:t>
            </w:r>
          </w:p>
        </w:tc>
        <w:tc>
          <w:tcPr>
            <w:tcW w:w="959"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50,00</w:t>
            </w:r>
          </w:p>
        </w:tc>
        <w:tc>
          <w:tcPr>
            <w:tcW w:w="1566"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0,00</w:t>
            </w:r>
          </w:p>
        </w:tc>
        <w:tc>
          <w:tcPr>
            <w:tcW w:w="1161"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2,08</w:t>
            </w:r>
          </w:p>
        </w:tc>
        <w:tc>
          <w:tcPr>
            <w:tcW w:w="1270"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14,58</w:t>
            </w:r>
          </w:p>
        </w:tc>
        <w:tc>
          <w:tcPr>
            <w:tcW w:w="1096"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0,00</w:t>
            </w:r>
          </w:p>
        </w:tc>
        <w:tc>
          <w:tcPr>
            <w:tcW w:w="687"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39,58</w:t>
            </w:r>
          </w:p>
        </w:tc>
      </w:tr>
      <w:tr w:rsidR="00385576" w:rsidRPr="00C91C0F" w:rsidTr="00385576">
        <w:trPr>
          <w:trHeight w:val="72"/>
        </w:trPr>
        <w:tc>
          <w:tcPr>
            <w:tcW w:w="1413"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Fonio grain</w:t>
            </w:r>
          </w:p>
        </w:tc>
        <w:tc>
          <w:tcPr>
            <w:tcW w:w="910"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0,00</w:t>
            </w:r>
          </w:p>
        </w:tc>
        <w:tc>
          <w:tcPr>
            <w:tcW w:w="959"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33,33</w:t>
            </w:r>
          </w:p>
        </w:tc>
        <w:tc>
          <w:tcPr>
            <w:tcW w:w="1566"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0,00</w:t>
            </w:r>
          </w:p>
        </w:tc>
        <w:tc>
          <w:tcPr>
            <w:tcW w:w="1161"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0,00</w:t>
            </w:r>
          </w:p>
        </w:tc>
        <w:tc>
          <w:tcPr>
            <w:tcW w:w="1270"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33,33</w:t>
            </w:r>
          </w:p>
        </w:tc>
        <w:tc>
          <w:tcPr>
            <w:tcW w:w="1096"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0,00</w:t>
            </w:r>
          </w:p>
        </w:tc>
        <w:tc>
          <w:tcPr>
            <w:tcW w:w="687" w:type="dxa"/>
            <w:noWrap/>
            <w:hideMark/>
          </w:tcPr>
          <w:p w:rsidR="00AB1D5F" w:rsidRPr="00C91C0F" w:rsidRDefault="00AB1D5F" w:rsidP="00AB1D5F">
            <w:pPr>
              <w:rPr>
                <w:rFonts w:ascii="Times New Roman" w:hAnsi="Times New Roman" w:cs="Times New Roman"/>
                <w:sz w:val="20"/>
              </w:rPr>
            </w:pPr>
            <w:r w:rsidRPr="00C91C0F">
              <w:rPr>
                <w:rFonts w:ascii="Times New Roman" w:hAnsi="Times New Roman" w:cs="Times New Roman"/>
                <w:sz w:val="20"/>
              </w:rPr>
              <w:t>66,67</w:t>
            </w:r>
          </w:p>
        </w:tc>
      </w:tr>
    </w:tbl>
    <w:p w:rsidR="00AB1D5F" w:rsidRPr="00385576" w:rsidRDefault="00AB1D5F" w:rsidP="00AB1D5F">
      <w:pPr>
        <w:rPr>
          <w:rFonts w:ascii="Times New Roman" w:hAnsi="Times New Roman" w:cs="Times New Roman"/>
        </w:rPr>
      </w:pPr>
      <w:r w:rsidRPr="00385576">
        <w:rPr>
          <w:rFonts w:ascii="Times New Roman" w:hAnsi="Times New Roman" w:cs="Times New Roman"/>
        </w:rPr>
        <w:t>Source : Enquête PAPA, 2018</w:t>
      </w:r>
    </w:p>
    <w:p w:rsidR="00AB1D5F" w:rsidRPr="00385576" w:rsidRDefault="00AB1D5F" w:rsidP="00AB1D5F">
      <w:pPr>
        <w:spacing w:line="360" w:lineRule="auto"/>
        <w:jc w:val="both"/>
        <w:rPr>
          <w:rFonts w:ascii="Times New Roman" w:hAnsi="Times New Roman" w:cs="Times New Roman"/>
        </w:rPr>
      </w:pPr>
      <w:r w:rsidRPr="00385576">
        <w:rPr>
          <w:rFonts w:ascii="Times New Roman" w:hAnsi="Times New Roman" w:cs="Times New Roman"/>
        </w:rPr>
        <w:t>Selon le type de céréale et selon la période (période de pointe ou période creuse), le lieu d’approvisionnement le plus fréquent pourrait varier. Néanmoins, cette hypothèse n’a pas été vérifiée par les données de l’enquête PAPA auprès des commerçants grossistes de céréales sèches. En effet, le lieu d’approvisionnement par période est resté invariant. En effet, le fonio est plus acheté au niveau de marchés de vente en gros situé dans une commune autre que celle dans laquelle l’entreprises de commerce en gros est installé. Pour toutes les autres céréales, le lieu d’achat le plus habituel est (soit près de 50% des achats de mil, sorgho et maïs) est un marché de vente en gros situé dans la même commune</w:t>
      </w:r>
      <w:r w:rsidR="008D2E32">
        <w:rPr>
          <w:rFonts w:ascii="Times New Roman" w:hAnsi="Times New Roman" w:cs="Times New Roman"/>
        </w:rPr>
        <w:t xml:space="preserve"> que l’entreprise. Le tableau </w:t>
      </w:r>
      <w:r w:rsidRPr="00385576">
        <w:rPr>
          <w:rFonts w:ascii="Times New Roman" w:hAnsi="Times New Roman" w:cs="Times New Roman"/>
        </w:rPr>
        <w:t xml:space="preserve">9 indique les différents lieux de vente où se sont approvisionnés les grossistes en céréales, durant la semaine précédant l’enquête. </w:t>
      </w:r>
    </w:p>
    <w:p w:rsidR="00AB1D5F" w:rsidRPr="00385576" w:rsidRDefault="00AB1D5F" w:rsidP="00C91C0F">
      <w:pPr>
        <w:spacing w:after="120" w:line="360" w:lineRule="auto"/>
        <w:rPr>
          <w:rFonts w:ascii="Times New Roman" w:hAnsi="Times New Roman" w:cs="Times New Roman"/>
          <w:iCs/>
        </w:rPr>
      </w:pPr>
      <w:bookmarkStart w:id="49" w:name="_Toc3549378"/>
      <w:bookmarkStart w:id="50" w:name="_Toc34828004"/>
      <w:r w:rsidRPr="00385576">
        <w:rPr>
          <w:rFonts w:ascii="Times New Roman" w:hAnsi="Times New Roman" w:cs="Times New Roman"/>
          <w:b/>
          <w:iCs/>
        </w:rPr>
        <w:lastRenderedPageBreak/>
        <w:t xml:space="preserve">Tableau </w:t>
      </w:r>
      <w:r w:rsidRPr="00385576">
        <w:rPr>
          <w:rFonts w:ascii="Times New Roman" w:hAnsi="Times New Roman" w:cs="Times New Roman"/>
          <w:b/>
          <w:iCs/>
        </w:rPr>
        <w:fldChar w:fldCharType="begin"/>
      </w:r>
      <w:r w:rsidRPr="00385576">
        <w:rPr>
          <w:rFonts w:ascii="Times New Roman" w:hAnsi="Times New Roman" w:cs="Times New Roman"/>
          <w:b/>
          <w:iCs/>
        </w:rPr>
        <w:instrText xml:space="preserve"> SEQ Tableau \* ARABIC \s 1 </w:instrText>
      </w:r>
      <w:r w:rsidRPr="00385576">
        <w:rPr>
          <w:rFonts w:ascii="Times New Roman" w:hAnsi="Times New Roman" w:cs="Times New Roman"/>
          <w:b/>
          <w:iCs/>
        </w:rPr>
        <w:fldChar w:fldCharType="separate"/>
      </w:r>
      <w:r w:rsidRPr="00385576">
        <w:rPr>
          <w:rFonts w:ascii="Times New Roman" w:hAnsi="Times New Roman" w:cs="Times New Roman"/>
          <w:b/>
          <w:iCs/>
          <w:noProof/>
        </w:rPr>
        <w:t>9</w:t>
      </w:r>
      <w:r w:rsidRPr="00385576">
        <w:rPr>
          <w:rFonts w:ascii="Times New Roman" w:hAnsi="Times New Roman" w:cs="Times New Roman"/>
          <w:b/>
          <w:iCs/>
        </w:rPr>
        <w:fldChar w:fldCharType="end"/>
      </w:r>
      <w:r w:rsidRPr="00385576">
        <w:rPr>
          <w:rFonts w:ascii="Times New Roman" w:hAnsi="Times New Roman" w:cs="Times New Roman"/>
          <w:iCs/>
        </w:rPr>
        <w:t> : Lieux d’approvisionnement en céréales (semaine précédant l’enquête)</w:t>
      </w:r>
      <w:bookmarkEnd w:id="49"/>
      <w:bookmarkEnd w:id="50"/>
    </w:p>
    <w:tbl>
      <w:tblPr>
        <w:tblStyle w:val="TableauGrille1Clair1"/>
        <w:tblW w:w="0" w:type="auto"/>
        <w:tblLayout w:type="fixed"/>
        <w:tblLook w:val="04A0" w:firstRow="1" w:lastRow="0" w:firstColumn="1" w:lastColumn="0" w:noHBand="0" w:noVBand="1"/>
      </w:tblPr>
      <w:tblGrid>
        <w:gridCol w:w="1129"/>
        <w:gridCol w:w="851"/>
        <w:gridCol w:w="992"/>
        <w:gridCol w:w="992"/>
        <w:gridCol w:w="993"/>
        <w:gridCol w:w="992"/>
        <w:gridCol w:w="850"/>
        <w:gridCol w:w="1134"/>
        <w:gridCol w:w="1129"/>
      </w:tblGrid>
      <w:tr w:rsidR="00AB1D5F" w:rsidRPr="00C91C0F" w:rsidTr="00C91C0F">
        <w:trPr>
          <w:cnfStyle w:val="100000000000" w:firstRow="1" w:lastRow="0" w:firstColumn="0" w:lastColumn="0" w:oddVBand="0" w:evenVBand="0" w:oddHBand="0" w:evenHBand="0" w:firstRowFirstColumn="0" w:firstRowLastColumn="0" w:lastRowFirstColumn="0" w:lastRowLastColumn="0"/>
          <w:trHeight w:val="1658"/>
        </w:trPr>
        <w:tc>
          <w:tcPr>
            <w:cnfStyle w:val="001000000000" w:firstRow="0" w:lastRow="0" w:firstColumn="1" w:lastColumn="0" w:oddVBand="0" w:evenVBand="0" w:oddHBand="0" w:evenHBand="0" w:firstRowFirstColumn="0" w:firstRowLastColumn="0" w:lastRowFirstColumn="0" w:lastRowLastColumn="0"/>
            <w:tcW w:w="1129" w:type="dxa"/>
            <w:noWrap/>
            <w:hideMark/>
          </w:tcPr>
          <w:p w:rsidR="00AB1D5F" w:rsidRPr="00C91C0F" w:rsidRDefault="00AB1D5F" w:rsidP="00AB1D5F">
            <w:pPr>
              <w:rPr>
                <w:rFonts w:ascii="Times New Roman" w:eastAsia="Times New Roman" w:hAnsi="Times New Roman" w:cs="Times New Roman"/>
                <w:sz w:val="20"/>
                <w:szCs w:val="20"/>
                <w:lang w:eastAsia="fr-FR"/>
              </w:rPr>
            </w:pPr>
          </w:p>
        </w:tc>
        <w:tc>
          <w:tcPr>
            <w:tcW w:w="851" w:type="dxa"/>
            <w:noWrap/>
            <w:hideMark/>
          </w:tcPr>
          <w:p w:rsidR="00AB1D5F" w:rsidRPr="00C91C0F" w:rsidRDefault="00AB1D5F" w:rsidP="00AB1D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Exploitation</w:t>
            </w:r>
          </w:p>
        </w:tc>
        <w:tc>
          <w:tcPr>
            <w:tcW w:w="992" w:type="dxa"/>
            <w:noWrap/>
            <w:hideMark/>
          </w:tcPr>
          <w:p w:rsidR="00AB1D5F" w:rsidRPr="00C91C0F" w:rsidRDefault="00AB1D5F" w:rsidP="00AB1D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0"/>
                <w:szCs w:val="20"/>
                <w:lang w:eastAsia="fr-FR"/>
              </w:rPr>
            </w:pPr>
            <w:r w:rsidRPr="00C91C0F">
              <w:rPr>
                <w:rFonts w:ascii="Times New Roman" w:eastAsia="Times New Roman" w:hAnsi="Times New Roman" w:cs="Times New Roman"/>
                <w:iCs/>
                <w:color w:val="000000"/>
                <w:sz w:val="20"/>
                <w:szCs w:val="20"/>
                <w:lang w:eastAsia="fr-FR"/>
              </w:rPr>
              <w:t>Marché de vente en gros à Dakar</w:t>
            </w:r>
          </w:p>
        </w:tc>
        <w:tc>
          <w:tcPr>
            <w:tcW w:w="992" w:type="dxa"/>
            <w:noWrap/>
            <w:hideMark/>
          </w:tcPr>
          <w:p w:rsidR="00AB1D5F" w:rsidRPr="00C91C0F" w:rsidRDefault="00AB1D5F" w:rsidP="00AB1D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Marché de vente en  gros dans les autres centres urbains </w:t>
            </w:r>
          </w:p>
        </w:tc>
        <w:tc>
          <w:tcPr>
            <w:tcW w:w="993" w:type="dxa"/>
            <w:noWrap/>
            <w:hideMark/>
          </w:tcPr>
          <w:p w:rsidR="00AB1D5F" w:rsidRPr="00C91C0F" w:rsidRDefault="00AB1D5F" w:rsidP="00AB1D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0"/>
                <w:szCs w:val="20"/>
                <w:lang w:eastAsia="fr-FR"/>
              </w:rPr>
            </w:pPr>
            <w:r w:rsidRPr="00C91C0F">
              <w:rPr>
                <w:rFonts w:ascii="Times New Roman" w:eastAsia="Times New Roman" w:hAnsi="Times New Roman" w:cs="Times New Roman"/>
                <w:iCs/>
                <w:color w:val="000000"/>
                <w:sz w:val="20"/>
                <w:szCs w:val="20"/>
                <w:lang w:eastAsia="fr-FR"/>
              </w:rPr>
              <w:t>Marché de vente en gros dans la même commune</w:t>
            </w:r>
          </w:p>
        </w:tc>
        <w:tc>
          <w:tcPr>
            <w:tcW w:w="992" w:type="dxa"/>
            <w:noWrap/>
            <w:hideMark/>
          </w:tcPr>
          <w:p w:rsidR="00AB1D5F" w:rsidRPr="00C91C0F" w:rsidRDefault="00AB1D5F" w:rsidP="00AB1D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0"/>
                <w:szCs w:val="20"/>
                <w:lang w:eastAsia="fr-FR"/>
              </w:rPr>
            </w:pPr>
            <w:r w:rsidRPr="00C91C0F">
              <w:rPr>
                <w:rFonts w:ascii="Times New Roman" w:eastAsia="Times New Roman" w:hAnsi="Times New Roman" w:cs="Times New Roman"/>
                <w:iCs/>
                <w:color w:val="000000"/>
                <w:sz w:val="20"/>
                <w:szCs w:val="20"/>
                <w:lang w:eastAsia="fr-FR"/>
              </w:rPr>
              <w:t>Marché de vente en gros dans une autre commune</w:t>
            </w:r>
          </w:p>
        </w:tc>
        <w:tc>
          <w:tcPr>
            <w:tcW w:w="850" w:type="dxa"/>
            <w:noWrap/>
            <w:hideMark/>
          </w:tcPr>
          <w:p w:rsidR="00AB1D5F" w:rsidRPr="00C91C0F" w:rsidRDefault="00AB1D5F" w:rsidP="00AB1D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C91C0F">
              <w:rPr>
                <w:rFonts w:ascii="Times New Roman" w:eastAsia="Times New Roman" w:hAnsi="Times New Roman" w:cs="Times New Roman"/>
                <w:sz w:val="20"/>
                <w:szCs w:val="20"/>
                <w:lang w:eastAsia="fr-FR"/>
              </w:rPr>
              <w:t>Entreprise de transformation </w:t>
            </w:r>
          </w:p>
        </w:tc>
        <w:tc>
          <w:tcPr>
            <w:tcW w:w="1134" w:type="dxa"/>
            <w:noWrap/>
            <w:hideMark/>
          </w:tcPr>
          <w:p w:rsidR="00AB1D5F" w:rsidRPr="00C91C0F" w:rsidRDefault="00AB1D5F" w:rsidP="00AB1D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0"/>
                <w:szCs w:val="20"/>
                <w:lang w:eastAsia="fr-FR"/>
              </w:rPr>
            </w:pPr>
            <w:r w:rsidRPr="00C91C0F">
              <w:rPr>
                <w:rFonts w:ascii="Times New Roman" w:eastAsia="Times New Roman" w:hAnsi="Times New Roman" w:cs="Times New Roman"/>
                <w:iCs/>
                <w:color w:val="000000"/>
                <w:sz w:val="20"/>
                <w:szCs w:val="20"/>
                <w:lang w:eastAsia="fr-FR"/>
              </w:rPr>
              <w:t>Magasin/boutique de vente au détail en dehors des marchés</w:t>
            </w:r>
          </w:p>
        </w:tc>
        <w:tc>
          <w:tcPr>
            <w:tcW w:w="1129" w:type="dxa"/>
            <w:noWrap/>
            <w:hideMark/>
          </w:tcPr>
          <w:p w:rsidR="00AB1D5F" w:rsidRPr="00C91C0F" w:rsidRDefault="00AB1D5F" w:rsidP="00AB1D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0"/>
                <w:szCs w:val="20"/>
                <w:lang w:eastAsia="fr-FR"/>
              </w:rPr>
            </w:pPr>
            <w:r w:rsidRPr="00C91C0F">
              <w:rPr>
                <w:rFonts w:ascii="Times New Roman" w:eastAsia="Times New Roman" w:hAnsi="Times New Roman" w:cs="Times New Roman"/>
                <w:iCs/>
                <w:color w:val="000000"/>
                <w:sz w:val="20"/>
                <w:szCs w:val="20"/>
                <w:lang w:eastAsia="fr-FR"/>
              </w:rPr>
              <w:t>Magasin/boutique de vente en gros en dehors des marchés</w:t>
            </w:r>
          </w:p>
        </w:tc>
      </w:tr>
      <w:tr w:rsidR="00AB1D5F" w:rsidRPr="00C91C0F" w:rsidTr="00C91C0F">
        <w:trPr>
          <w:trHeight w:val="365"/>
        </w:trPr>
        <w:tc>
          <w:tcPr>
            <w:cnfStyle w:val="001000000000" w:firstRow="0" w:lastRow="0" w:firstColumn="1" w:lastColumn="0" w:oddVBand="0" w:evenVBand="0" w:oddHBand="0" w:evenHBand="0" w:firstRowFirstColumn="0" w:firstRowLastColumn="0" w:lastRowFirstColumn="0" w:lastRowLastColumn="0"/>
            <w:tcW w:w="1129" w:type="dxa"/>
            <w:noWrap/>
            <w:hideMark/>
          </w:tcPr>
          <w:p w:rsidR="00AB1D5F" w:rsidRPr="00385576" w:rsidRDefault="00AB1D5F" w:rsidP="00AB1D5F">
            <w:pPr>
              <w:rPr>
                <w:rFonts w:ascii="Times New Roman" w:eastAsia="Times New Roman" w:hAnsi="Times New Roman" w:cs="Times New Roman"/>
                <w:b w:val="0"/>
                <w:color w:val="000000"/>
                <w:sz w:val="20"/>
                <w:szCs w:val="20"/>
                <w:lang w:eastAsia="fr-FR"/>
              </w:rPr>
            </w:pPr>
            <w:r w:rsidRPr="00385576">
              <w:rPr>
                <w:rFonts w:ascii="Times New Roman" w:eastAsia="Times New Roman" w:hAnsi="Times New Roman" w:cs="Times New Roman"/>
                <w:b w:val="0"/>
                <w:color w:val="000000"/>
                <w:sz w:val="20"/>
                <w:szCs w:val="20"/>
                <w:lang w:eastAsia="fr-FR"/>
              </w:rPr>
              <w:t xml:space="preserve">Mil </w:t>
            </w:r>
            <w:proofErr w:type="gramStart"/>
            <w:r w:rsidRPr="00385576">
              <w:rPr>
                <w:rFonts w:ascii="Times New Roman" w:eastAsia="Times New Roman" w:hAnsi="Times New Roman" w:cs="Times New Roman"/>
                <w:b w:val="0"/>
                <w:color w:val="000000"/>
                <w:sz w:val="20"/>
                <w:szCs w:val="20"/>
                <w:lang w:eastAsia="fr-FR"/>
              </w:rPr>
              <w:t>grain</w:t>
            </w:r>
            <w:proofErr w:type="gramEnd"/>
          </w:p>
        </w:tc>
        <w:tc>
          <w:tcPr>
            <w:tcW w:w="851"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8,16</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24,49</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18,37</w:t>
            </w:r>
          </w:p>
        </w:tc>
        <w:tc>
          <w:tcPr>
            <w:tcW w:w="993"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53,06</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10,20</w:t>
            </w:r>
          </w:p>
        </w:tc>
        <w:tc>
          <w:tcPr>
            <w:tcW w:w="850"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1134"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1129"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2,04</w:t>
            </w:r>
          </w:p>
        </w:tc>
      </w:tr>
      <w:tr w:rsidR="00AB1D5F" w:rsidRPr="00C91C0F" w:rsidTr="00C91C0F">
        <w:trPr>
          <w:trHeight w:val="365"/>
        </w:trPr>
        <w:tc>
          <w:tcPr>
            <w:cnfStyle w:val="001000000000" w:firstRow="0" w:lastRow="0" w:firstColumn="1" w:lastColumn="0" w:oddVBand="0" w:evenVBand="0" w:oddHBand="0" w:evenHBand="0" w:firstRowFirstColumn="0" w:firstRowLastColumn="0" w:lastRowFirstColumn="0" w:lastRowLastColumn="0"/>
            <w:tcW w:w="1129" w:type="dxa"/>
            <w:noWrap/>
            <w:hideMark/>
          </w:tcPr>
          <w:p w:rsidR="00AB1D5F" w:rsidRPr="00385576" w:rsidRDefault="00AB1D5F" w:rsidP="00AB1D5F">
            <w:pPr>
              <w:rPr>
                <w:rFonts w:ascii="Times New Roman" w:eastAsia="Times New Roman" w:hAnsi="Times New Roman" w:cs="Times New Roman"/>
                <w:b w:val="0"/>
                <w:color w:val="000000"/>
                <w:sz w:val="20"/>
                <w:szCs w:val="20"/>
                <w:lang w:eastAsia="fr-FR"/>
              </w:rPr>
            </w:pPr>
            <w:r w:rsidRPr="00385576">
              <w:rPr>
                <w:rFonts w:ascii="Times New Roman" w:eastAsia="Times New Roman" w:hAnsi="Times New Roman" w:cs="Times New Roman"/>
                <w:b w:val="0"/>
                <w:color w:val="000000"/>
                <w:sz w:val="20"/>
                <w:szCs w:val="20"/>
                <w:lang w:eastAsia="fr-FR"/>
              </w:rPr>
              <w:t>Sorgho grain</w:t>
            </w:r>
          </w:p>
        </w:tc>
        <w:tc>
          <w:tcPr>
            <w:tcW w:w="851"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8,70</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13,04</w:t>
            </w:r>
          </w:p>
        </w:tc>
        <w:tc>
          <w:tcPr>
            <w:tcW w:w="993"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52,17</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4,35</w:t>
            </w:r>
          </w:p>
        </w:tc>
        <w:tc>
          <w:tcPr>
            <w:tcW w:w="850"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1134"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1129"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r>
      <w:tr w:rsidR="00AB1D5F" w:rsidRPr="00C91C0F" w:rsidTr="00C91C0F">
        <w:trPr>
          <w:trHeight w:val="365"/>
        </w:trPr>
        <w:tc>
          <w:tcPr>
            <w:cnfStyle w:val="001000000000" w:firstRow="0" w:lastRow="0" w:firstColumn="1" w:lastColumn="0" w:oddVBand="0" w:evenVBand="0" w:oddHBand="0" w:evenHBand="0" w:firstRowFirstColumn="0" w:firstRowLastColumn="0" w:lastRowFirstColumn="0" w:lastRowLastColumn="0"/>
            <w:tcW w:w="1129" w:type="dxa"/>
            <w:noWrap/>
            <w:hideMark/>
          </w:tcPr>
          <w:p w:rsidR="00AB1D5F" w:rsidRPr="00385576" w:rsidRDefault="00AB1D5F" w:rsidP="00AB1D5F">
            <w:pPr>
              <w:rPr>
                <w:rFonts w:ascii="Times New Roman" w:eastAsia="Times New Roman" w:hAnsi="Times New Roman" w:cs="Times New Roman"/>
                <w:b w:val="0"/>
                <w:color w:val="000000"/>
                <w:sz w:val="20"/>
                <w:szCs w:val="20"/>
                <w:lang w:eastAsia="fr-FR"/>
              </w:rPr>
            </w:pPr>
            <w:r w:rsidRPr="00385576">
              <w:rPr>
                <w:rFonts w:ascii="Times New Roman" w:eastAsia="Times New Roman" w:hAnsi="Times New Roman" w:cs="Times New Roman"/>
                <w:b w:val="0"/>
                <w:color w:val="000000"/>
                <w:sz w:val="20"/>
                <w:szCs w:val="20"/>
                <w:lang w:eastAsia="fr-FR"/>
              </w:rPr>
              <w:t>Maïs grain</w:t>
            </w:r>
          </w:p>
        </w:tc>
        <w:tc>
          <w:tcPr>
            <w:tcW w:w="851"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4,17</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25,00</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12,50</w:t>
            </w:r>
          </w:p>
        </w:tc>
        <w:tc>
          <w:tcPr>
            <w:tcW w:w="993"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45,83</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16,67</w:t>
            </w:r>
          </w:p>
        </w:tc>
        <w:tc>
          <w:tcPr>
            <w:tcW w:w="850"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1134"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1129"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2,08</w:t>
            </w:r>
          </w:p>
        </w:tc>
      </w:tr>
      <w:tr w:rsidR="00AB1D5F" w:rsidRPr="00C91C0F" w:rsidTr="00C91C0F">
        <w:trPr>
          <w:trHeight w:val="365"/>
        </w:trPr>
        <w:tc>
          <w:tcPr>
            <w:cnfStyle w:val="001000000000" w:firstRow="0" w:lastRow="0" w:firstColumn="1" w:lastColumn="0" w:oddVBand="0" w:evenVBand="0" w:oddHBand="0" w:evenHBand="0" w:firstRowFirstColumn="0" w:firstRowLastColumn="0" w:lastRowFirstColumn="0" w:lastRowLastColumn="0"/>
            <w:tcW w:w="1129" w:type="dxa"/>
            <w:noWrap/>
            <w:hideMark/>
          </w:tcPr>
          <w:p w:rsidR="00AB1D5F" w:rsidRPr="00385576" w:rsidRDefault="00AB1D5F" w:rsidP="00AB1D5F">
            <w:pPr>
              <w:rPr>
                <w:rFonts w:ascii="Times New Roman" w:eastAsia="Times New Roman" w:hAnsi="Times New Roman" w:cs="Times New Roman"/>
                <w:b w:val="0"/>
                <w:color w:val="000000"/>
                <w:sz w:val="20"/>
                <w:szCs w:val="20"/>
                <w:lang w:eastAsia="fr-FR"/>
              </w:rPr>
            </w:pPr>
            <w:r w:rsidRPr="00385576">
              <w:rPr>
                <w:rFonts w:ascii="Times New Roman" w:eastAsia="Times New Roman" w:hAnsi="Times New Roman" w:cs="Times New Roman"/>
                <w:b w:val="0"/>
                <w:color w:val="000000"/>
                <w:sz w:val="20"/>
                <w:szCs w:val="20"/>
                <w:lang w:eastAsia="fr-FR"/>
              </w:rPr>
              <w:t>Fonio grain</w:t>
            </w:r>
          </w:p>
        </w:tc>
        <w:tc>
          <w:tcPr>
            <w:tcW w:w="851"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993"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992"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33,33</w:t>
            </w:r>
          </w:p>
        </w:tc>
        <w:tc>
          <w:tcPr>
            <w:tcW w:w="850"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1134"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0,00</w:t>
            </w:r>
          </w:p>
        </w:tc>
        <w:tc>
          <w:tcPr>
            <w:tcW w:w="1129" w:type="dxa"/>
            <w:noWrap/>
            <w:hideMark/>
          </w:tcPr>
          <w:p w:rsidR="00AB1D5F" w:rsidRPr="00C91C0F" w:rsidRDefault="00AB1D5F" w:rsidP="00AB1D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FR"/>
              </w:rPr>
            </w:pPr>
            <w:r w:rsidRPr="00C91C0F">
              <w:rPr>
                <w:rFonts w:ascii="Times New Roman" w:eastAsia="Times New Roman" w:hAnsi="Times New Roman" w:cs="Times New Roman"/>
                <w:color w:val="000000"/>
                <w:sz w:val="20"/>
                <w:szCs w:val="20"/>
                <w:lang w:eastAsia="fr-FR"/>
              </w:rPr>
              <w:t>33,33</w:t>
            </w:r>
          </w:p>
        </w:tc>
      </w:tr>
    </w:tbl>
    <w:p w:rsidR="00AB1D5F" w:rsidRPr="00B423E0" w:rsidRDefault="00AB1D5F" w:rsidP="00AB1D5F">
      <w:pPr>
        <w:rPr>
          <w:rFonts w:ascii="Times New Roman" w:hAnsi="Times New Roman" w:cs="Times New Roman"/>
        </w:rPr>
      </w:pPr>
      <w:r w:rsidRPr="00B423E0">
        <w:rPr>
          <w:rFonts w:ascii="Times New Roman" w:hAnsi="Times New Roman" w:cs="Times New Roman"/>
        </w:rPr>
        <w:t>Source : Enquête PAPA, 2018</w:t>
      </w:r>
    </w:p>
    <w:p w:rsidR="00AB1D5F" w:rsidRPr="00385576" w:rsidRDefault="00AB1D5F" w:rsidP="00AB1D5F">
      <w:pPr>
        <w:pStyle w:val="RapportPAPA"/>
        <w:rPr>
          <w:sz w:val="22"/>
          <w:szCs w:val="22"/>
        </w:rPr>
      </w:pPr>
      <w:r w:rsidRPr="00385576">
        <w:rPr>
          <w:sz w:val="22"/>
          <w:szCs w:val="22"/>
        </w:rPr>
        <w:t xml:space="preserve">L’approvisionnement en céréales provenant de la propre production du commerçant est très faible par rapport aux autres sources. En janvier 2018, aucun approvisionnement ne s’est effectué à partir de la production propre des commerçants. Cette source est plus utilisée en période de pointe, c’est-à-dire après les récoltes. Ainsi, en période de pointe 2,5% des achats de céréales pour la vente en gros proviennent de leurs propres récoltes alors qu’en période creuse, cette source d’approvisionnement ne procure que 1,15%. En mars 2018, c’est-à-dire 4 à 5 mois après les récoltes des céréales pluviales (mil, maïs, sorgho, fonio), les stocks de céréales en provenance de la propre production des commerçants étaient déjà épuisés. </w:t>
      </w:r>
    </w:p>
    <w:p w:rsidR="00AB1D5F" w:rsidRPr="00385576" w:rsidRDefault="00AB1D5F" w:rsidP="00AB1D5F">
      <w:pPr>
        <w:pStyle w:val="RapportPAPA"/>
        <w:rPr>
          <w:sz w:val="22"/>
          <w:szCs w:val="22"/>
        </w:rPr>
      </w:pPr>
      <w:r w:rsidRPr="00385576">
        <w:rPr>
          <w:sz w:val="22"/>
          <w:szCs w:val="22"/>
        </w:rPr>
        <w:t xml:space="preserve">L’analyse du tableau 1.10 montre que la part des grossistes qui possèdent des exploitations agricoles de céréales représente 17,24%. La production de ces grossistes est plus orientée vers le mil (93.33% des grossistes/producteurs) et le maïs (46,67% des grossistes/producteurs). Cette tendance pourrait se justifier par le niveau de consommation de mil dans les zones urbaines. En effet, après le riz, le mil domine dans la consommation annuelle de céréales des ménages urbains. La consommation moyenne de mil par an et par ménage urbain s’élève à 321 kg </w:t>
      </w:r>
      <w:r w:rsidRPr="00385576">
        <w:rPr>
          <w:noProof/>
          <w:sz w:val="22"/>
          <w:szCs w:val="22"/>
          <w:lang w:val="fr-SN"/>
        </w:rPr>
        <w:t>(PAPA, 2017)</w:t>
      </w:r>
      <w:r w:rsidRPr="00385576">
        <w:rPr>
          <w:sz w:val="22"/>
          <w:szCs w:val="22"/>
        </w:rPr>
        <w:t xml:space="preserve">. Néanmoins, seuls 12,02% des producteurs de mil commercialisent leur production avec un taux d’excédent commercialisé faible qui s’élève à 13,48% de leur production de mil (Cf. Chapitre sur le segment de la production de céréales sèches). </w:t>
      </w:r>
    </w:p>
    <w:p w:rsidR="00AB1D5F" w:rsidRPr="00385576" w:rsidRDefault="00AB1D5F" w:rsidP="00AB1D5F">
      <w:pPr>
        <w:spacing w:after="120" w:line="240" w:lineRule="auto"/>
        <w:rPr>
          <w:rFonts w:ascii="Times New Roman" w:hAnsi="Times New Roman" w:cs="Times New Roman"/>
        </w:rPr>
      </w:pPr>
      <w:bookmarkStart w:id="51" w:name="_Toc1484427"/>
      <w:bookmarkStart w:id="52" w:name="_Toc3549379"/>
      <w:bookmarkStart w:id="53" w:name="_Toc34828005"/>
      <w:r w:rsidRPr="00385576">
        <w:rPr>
          <w:rFonts w:ascii="Times New Roman" w:hAnsi="Times New Roman" w:cs="Times New Roman"/>
          <w:b/>
          <w:iCs/>
        </w:rPr>
        <w:t xml:space="preserve">Tableau </w:t>
      </w:r>
      <w:r w:rsidRPr="00385576">
        <w:rPr>
          <w:rFonts w:ascii="Times New Roman" w:hAnsi="Times New Roman" w:cs="Times New Roman"/>
          <w:b/>
          <w:iCs/>
        </w:rPr>
        <w:fldChar w:fldCharType="begin"/>
      </w:r>
      <w:r w:rsidRPr="00385576">
        <w:rPr>
          <w:rFonts w:ascii="Times New Roman" w:hAnsi="Times New Roman" w:cs="Times New Roman"/>
          <w:b/>
          <w:iCs/>
        </w:rPr>
        <w:instrText xml:space="preserve"> SEQ Tableau \* ARABIC \s 1 </w:instrText>
      </w:r>
      <w:r w:rsidRPr="00385576">
        <w:rPr>
          <w:rFonts w:ascii="Times New Roman" w:hAnsi="Times New Roman" w:cs="Times New Roman"/>
          <w:b/>
          <w:iCs/>
        </w:rPr>
        <w:fldChar w:fldCharType="separate"/>
      </w:r>
      <w:r w:rsidRPr="00385576">
        <w:rPr>
          <w:rFonts w:ascii="Times New Roman" w:hAnsi="Times New Roman" w:cs="Times New Roman"/>
          <w:b/>
          <w:iCs/>
          <w:noProof/>
        </w:rPr>
        <w:t>10</w:t>
      </w:r>
      <w:r w:rsidRPr="00385576">
        <w:rPr>
          <w:rFonts w:ascii="Times New Roman" w:hAnsi="Times New Roman" w:cs="Times New Roman"/>
          <w:b/>
          <w:iCs/>
        </w:rPr>
        <w:fldChar w:fldCharType="end"/>
      </w:r>
      <w:r w:rsidRPr="00385576">
        <w:rPr>
          <w:rFonts w:ascii="Times New Roman" w:hAnsi="Times New Roman" w:cs="Times New Roman"/>
          <w:b/>
          <w:iCs/>
        </w:rPr>
        <w:t> :</w:t>
      </w:r>
      <w:r w:rsidRPr="00385576">
        <w:rPr>
          <w:rFonts w:ascii="Times New Roman" w:hAnsi="Times New Roman" w:cs="Times New Roman"/>
        </w:rPr>
        <w:t xml:space="preserve"> Activités agricoles et de transformation des entreprises</w:t>
      </w:r>
      <w:bookmarkEnd w:id="51"/>
      <w:bookmarkEnd w:id="52"/>
      <w:bookmarkEnd w:id="53"/>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95"/>
        <w:gridCol w:w="4567"/>
      </w:tblGrid>
      <w:tr w:rsidR="00AB1D5F" w:rsidRPr="00385576" w:rsidTr="00AB1D5F">
        <w:trPr>
          <w:trHeight w:val="20"/>
        </w:trPr>
        <w:tc>
          <w:tcPr>
            <w:tcW w:w="5000" w:type="pct"/>
            <w:gridSpan w:val="2"/>
            <w:shd w:val="clear" w:color="auto" w:fill="auto"/>
            <w:hideMark/>
          </w:tcPr>
          <w:p w:rsidR="00AB1D5F" w:rsidRPr="00385576" w:rsidRDefault="00AB1D5F" w:rsidP="00AB1D5F">
            <w:pPr>
              <w:spacing w:after="0" w:line="240" w:lineRule="auto"/>
              <w:jc w:val="both"/>
              <w:rPr>
                <w:rFonts w:ascii="Times New Roman" w:eastAsia="Times New Roman" w:hAnsi="Times New Roman" w:cs="Times New Roman"/>
                <w:b/>
                <w:bCs/>
                <w:sz w:val="20"/>
              </w:rPr>
            </w:pPr>
            <w:r w:rsidRPr="00385576">
              <w:rPr>
                <w:rFonts w:ascii="Times New Roman" w:eastAsia="Times New Roman" w:hAnsi="Times New Roman" w:cs="Times New Roman"/>
                <w:b/>
                <w:bCs/>
                <w:sz w:val="20"/>
              </w:rPr>
              <w:t xml:space="preserve">Activité agricole de production de céréales/Activités de transformation des céréales (2017) </w:t>
            </w:r>
            <w:r w:rsidRPr="00385576">
              <w:rPr>
                <w:rFonts w:ascii="Times New Roman" w:eastAsia="Times New Roman" w:hAnsi="Times New Roman" w:cs="Times New Roman"/>
                <w:b/>
                <w:bCs/>
                <w:color w:val="000000"/>
                <w:sz w:val="20"/>
                <w:lang w:eastAsia="fr-FR"/>
              </w:rPr>
              <w:t>N=87</w:t>
            </w:r>
          </w:p>
        </w:tc>
      </w:tr>
      <w:tr w:rsidR="00AB1D5F" w:rsidRPr="00385576" w:rsidTr="00AB1D5F">
        <w:trPr>
          <w:trHeight w:val="20"/>
        </w:trPr>
        <w:tc>
          <w:tcPr>
            <w:tcW w:w="2480" w:type="pct"/>
            <w:shd w:val="clear" w:color="auto" w:fill="auto"/>
            <w:hideMark/>
          </w:tcPr>
          <w:p w:rsidR="00AB1D5F" w:rsidRPr="00385576" w:rsidRDefault="00AB1D5F" w:rsidP="00AB1D5F">
            <w:pPr>
              <w:spacing w:after="0" w:line="240" w:lineRule="auto"/>
              <w:rPr>
                <w:rFonts w:ascii="Times New Roman" w:eastAsia="Times New Roman" w:hAnsi="Times New Roman" w:cs="Times New Roman"/>
                <w:bCs/>
                <w:sz w:val="20"/>
              </w:rPr>
            </w:pPr>
            <w:r w:rsidRPr="00385576">
              <w:rPr>
                <w:rFonts w:ascii="Times New Roman" w:eastAsia="Times New Roman" w:hAnsi="Times New Roman" w:cs="Times New Roman"/>
                <w:bCs/>
                <w:sz w:val="20"/>
              </w:rPr>
              <w:t>Part des commerçants possédant une exploitation agricole de céréales (%)</w:t>
            </w:r>
          </w:p>
        </w:tc>
        <w:tc>
          <w:tcPr>
            <w:tcW w:w="2520" w:type="pct"/>
            <w:shd w:val="clear" w:color="auto" w:fill="auto"/>
            <w:noWrap/>
            <w:hideMark/>
          </w:tcPr>
          <w:p w:rsidR="00AB1D5F" w:rsidRPr="00385576" w:rsidRDefault="00AB1D5F" w:rsidP="00AB1D5F">
            <w:pPr>
              <w:spacing w:after="0" w:line="240" w:lineRule="auto"/>
              <w:jc w:val="both"/>
              <w:rPr>
                <w:rFonts w:ascii="Times New Roman" w:eastAsia="Times New Roman" w:hAnsi="Times New Roman" w:cs="Times New Roman"/>
                <w:sz w:val="20"/>
              </w:rPr>
            </w:pPr>
            <w:r w:rsidRPr="00385576">
              <w:rPr>
                <w:rFonts w:ascii="Times New Roman" w:eastAsia="Times New Roman" w:hAnsi="Times New Roman" w:cs="Times New Roman"/>
                <w:sz w:val="20"/>
              </w:rPr>
              <w:t>17,24</w:t>
            </w:r>
          </w:p>
        </w:tc>
      </w:tr>
      <w:tr w:rsidR="00AB1D5F" w:rsidRPr="00385576" w:rsidTr="00AB1D5F">
        <w:trPr>
          <w:trHeight w:val="20"/>
        </w:trPr>
        <w:tc>
          <w:tcPr>
            <w:tcW w:w="2480" w:type="pct"/>
            <w:shd w:val="clear" w:color="auto" w:fill="auto"/>
            <w:hideMark/>
          </w:tcPr>
          <w:p w:rsidR="00AB1D5F" w:rsidRPr="00385576" w:rsidRDefault="00AB1D5F" w:rsidP="00AB1D5F">
            <w:pPr>
              <w:spacing w:after="0" w:line="240" w:lineRule="auto"/>
              <w:rPr>
                <w:rFonts w:ascii="Times New Roman" w:eastAsia="Times New Roman" w:hAnsi="Times New Roman" w:cs="Times New Roman"/>
                <w:bCs/>
                <w:sz w:val="20"/>
              </w:rPr>
            </w:pPr>
            <w:r w:rsidRPr="00385576">
              <w:rPr>
                <w:rFonts w:ascii="Times New Roman" w:eastAsia="Times New Roman" w:hAnsi="Times New Roman" w:cs="Times New Roman"/>
                <w:bCs/>
                <w:sz w:val="20"/>
              </w:rPr>
              <w:t>Part des commerçants possédant une entreprise de transformation de céréales (%)</w:t>
            </w:r>
          </w:p>
        </w:tc>
        <w:tc>
          <w:tcPr>
            <w:tcW w:w="2520" w:type="pct"/>
            <w:shd w:val="clear" w:color="auto" w:fill="auto"/>
            <w:noWrap/>
            <w:hideMark/>
          </w:tcPr>
          <w:p w:rsidR="00AB1D5F" w:rsidRPr="00385576" w:rsidRDefault="00AB1D5F" w:rsidP="00AB1D5F">
            <w:pPr>
              <w:spacing w:after="0" w:line="240" w:lineRule="auto"/>
              <w:jc w:val="both"/>
              <w:rPr>
                <w:rFonts w:ascii="Times New Roman" w:eastAsia="Times New Roman" w:hAnsi="Times New Roman" w:cs="Times New Roman"/>
                <w:sz w:val="20"/>
              </w:rPr>
            </w:pPr>
            <w:r w:rsidRPr="00385576">
              <w:rPr>
                <w:rFonts w:ascii="Times New Roman" w:eastAsia="Times New Roman" w:hAnsi="Times New Roman" w:cs="Times New Roman"/>
                <w:sz w:val="20"/>
              </w:rPr>
              <w:t>1,15</w:t>
            </w:r>
          </w:p>
        </w:tc>
      </w:tr>
      <w:tr w:rsidR="00AB1D5F" w:rsidRPr="00385576" w:rsidTr="00AB1D5F">
        <w:trPr>
          <w:trHeight w:val="20"/>
        </w:trPr>
        <w:tc>
          <w:tcPr>
            <w:tcW w:w="2480" w:type="pct"/>
            <w:shd w:val="clear" w:color="auto" w:fill="auto"/>
            <w:hideMark/>
          </w:tcPr>
          <w:p w:rsidR="00AB1D5F" w:rsidRPr="00385576" w:rsidRDefault="00AB1D5F" w:rsidP="00AB1D5F">
            <w:pPr>
              <w:spacing w:after="0" w:line="240" w:lineRule="auto"/>
              <w:rPr>
                <w:rFonts w:ascii="Times New Roman" w:eastAsia="Times New Roman" w:hAnsi="Times New Roman" w:cs="Times New Roman"/>
                <w:bCs/>
                <w:sz w:val="20"/>
              </w:rPr>
            </w:pPr>
            <w:r w:rsidRPr="00385576">
              <w:rPr>
                <w:rFonts w:ascii="Times New Roman" w:eastAsia="Times New Roman" w:hAnsi="Times New Roman" w:cs="Times New Roman"/>
                <w:bCs/>
                <w:sz w:val="20"/>
              </w:rPr>
              <w:t>Répartition des céréales cultivées (en % de chaque céréale par acteur)</w:t>
            </w:r>
          </w:p>
        </w:tc>
        <w:tc>
          <w:tcPr>
            <w:tcW w:w="2520" w:type="pct"/>
            <w:shd w:val="clear" w:color="auto" w:fill="auto"/>
            <w:noWrap/>
            <w:hideMark/>
          </w:tcPr>
          <w:p w:rsidR="00AB1D5F" w:rsidRPr="00385576" w:rsidRDefault="00AB1D5F" w:rsidP="00AB1D5F">
            <w:pPr>
              <w:spacing w:after="0" w:line="240" w:lineRule="auto"/>
              <w:jc w:val="both"/>
              <w:rPr>
                <w:rFonts w:ascii="Times New Roman" w:eastAsia="Times New Roman" w:hAnsi="Times New Roman" w:cs="Times New Roman"/>
                <w:sz w:val="20"/>
              </w:rPr>
            </w:pPr>
            <w:r w:rsidRPr="00385576">
              <w:rPr>
                <w:rFonts w:ascii="Times New Roman" w:eastAsia="Times New Roman" w:hAnsi="Times New Roman" w:cs="Times New Roman"/>
                <w:sz w:val="20"/>
              </w:rPr>
              <w:t> </w:t>
            </w:r>
            <w:r w:rsidRPr="00385576">
              <w:rPr>
                <w:rFonts w:ascii="Times New Roman" w:eastAsia="Times New Roman" w:hAnsi="Times New Roman" w:cs="Times New Roman"/>
                <w:bCs/>
                <w:sz w:val="20"/>
              </w:rPr>
              <w:t>N=15</w:t>
            </w:r>
          </w:p>
        </w:tc>
      </w:tr>
      <w:tr w:rsidR="00AB1D5F" w:rsidRPr="00385576" w:rsidTr="00AB1D5F">
        <w:trPr>
          <w:trHeight w:val="20"/>
        </w:trPr>
        <w:tc>
          <w:tcPr>
            <w:tcW w:w="2480" w:type="pct"/>
            <w:shd w:val="clear" w:color="auto" w:fill="auto"/>
            <w:hideMark/>
          </w:tcPr>
          <w:p w:rsidR="00AB1D5F" w:rsidRPr="00385576" w:rsidRDefault="00AB1D5F" w:rsidP="00AB1D5F">
            <w:pPr>
              <w:spacing w:after="0" w:line="240" w:lineRule="auto"/>
              <w:ind w:left="708"/>
              <w:jc w:val="both"/>
              <w:rPr>
                <w:rFonts w:ascii="Times New Roman" w:eastAsia="Times New Roman" w:hAnsi="Times New Roman" w:cs="Times New Roman"/>
                <w:b/>
                <w:bCs/>
                <w:sz w:val="20"/>
              </w:rPr>
            </w:pPr>
            <w:r w:rsidRPr="00385576">
              <w:rPr>
                <w:rFonts w:ascii="Times New Roman" w:eastAsia="Times New Roman" w:hAnsi="Times New Roman" w:cs="Times New Roman"/>
                <w:bCs/>
                <w:sz w:val="20"/>
              </w:rPr>
              <w:t>Mil</w:t>
            </w:r>
          </w:p>
        </w:tc>
        <w:tc>
          <w:tcPr>
            <w:tcW w:w="2520" w:type="pct"/>
            <w:shd w:val="clear" w:color="auto" w:fill="auto"/>
            <w:noWrap/>
            <w:hideMark/>
          </w:tcPr>
          <w:p w:rsidR="00AB1D5F" w:rsidRPr="00385576" w:rsidRDefault="00AB1D5F" w:rsidP="00AB1D5F">
            <w:pPr>
              <w:spacing w:after="0" w:line="240" w:lineRule="auto"/>
              <w:jc w:val="both"/>
              <w:rPr>
                <w:rFonts w:ascii="Times New Roman" w:eastAsia="Times New Roman" w:hAnsi="Times New Roman" w:cs="Times New Roman"/>
                <w:sz w:val="20"/>
              </w:rPr>
            </w:pPr>
            <w:r w:rsidRPr="00385576">
              <w:rPr>
                <w:rFonts w:ascii="Times New Roman" w:eastAsia="Times New Roman" w:hAnsi="Times New Roman" w:cs="Times New Roman"/>
                <w:sz w:val="20"/>
              </w:rPr>
              <w:t>93,33</w:t>
            </w:r>
          </w:p>
        </w:tc>
      </w:tr>
      <w:tr w:rsidR="00AB1D5F" w:rsidRPr="00385576" w:rsidTr="00AB1D5F">
        <w:trPr>
          <w:trHeight w:val="20"/>
        </w:trPr>
        <w:tc>
          <w:tcPr>
            <w:tcW w:w="2480" w:type="pct"/>
            <w:shd w:val="clear" w:color="auto" w:fill="auto"/>
            <w:hideMark/>
          </w:tcPr>
          <w:p w:rsidR="00AB1D5F" w:rsidRPr="00385576" w:rsidRDefault="00AB1D5F" w:rsidP="00AB1D5F">
            <w:pPr>
              <w:spacing w:after="0" w:line="240" w:lineRule="auto"/>
              <w:ind w:left="708"/>
              <w:jc w:val="both"/>
              <w:rPr>
                <w:rFonts w:ascii="Times New Roman" w:eastAsia="Times New Roman" w:hAnsi="Times New Roman" w:cs="Times New Roman"/>
                <w:b/>
                <w:bCs/>
                <w:sz w:val="20"/>
              </w:rPr>
            </w:pPr>
            <w:r w:rsidRPr="00385576">
              <w:rPr>
                <w:rFonts w:ascii="Times New Roman" w:eastAsia="Times New Roman" w:hAnsi="Times New Roman" w:cs="Times New Roman"/>
                <w:bCs/>
                <w:sz w:val="20"/>
              </w:rPr>
              <w:t>Sorgho</w:t>
            </w:r>
          </w:p>
        </w:tc>
        <w:tc>
          <w:tcPr>
            <w:tcW w:w="2520" w:type="pct"/>
            <w:shd w:val="clear" w:color="auto" w:fill="auto"/>
            <w:noWrap/>
            <w:hideMark/>
          </w:tcPr>
          <w:p w:rsidR="00AB1D5F" w:rsidRPr="00385576" w:rsidRDefault="00AB1D5F" w:rsidP="00AB1D5F">
            <w:pPr>
              <w:spacing w:after="0" w:line="240" w:lineRule="auto"/>
              <w:jc w:val="both"/>
              <w:rPr>
                <w:rFonts w:ascii="Times New Roman" w:eastAsia="Times New Roman" w:hAnsi="Times New Roman" w:cs="Times New Roman"/>
                <w:sz w:val="20"/>
              </w:rPr>
            </w:pPr>
            <w:r w:rsidRPr="00385576">
              <w:rPr>
                <w:rFonts w:ascii="Times New Roman" w:eastAsia="Times New Roman" w:hAnsi="Times New Roman" w:cs="Times New Roman"/>
                <w:sz w:val="20"/>
              </w:rPr>
              <w:t>26,67</w:t>
            </w:r>
          </w:p>
        </w:tc>
      </w:tr>
      <w:tr w:rsidR="00AB1D5F" w:rsidRPr="00385576" w:rsidTr="00AB1D5F">
        <w:trPr>
          <w:trHeight w:val="20"/>
        </w:trPr>
        <w:tc>
          <w:tcPr>
            <w:tcW w:w="2480" w:type="pct"/>
            <w:shd w:val="clear" w:color="auto" w:fill="auto"/>
            <w:hideMark/>
          </w:tcPr>
          <w:p w:rsidR="00AB1D5F" w:rsidRPr="00385576" w:rsidRDefault="00AB1D5F" w:rsidP="00AB1D5F">
            <w:pPr>
              <w:spacing w:after="0" w:line="240" w:lineRule="auto"/>
              <w:ind w:left="708"/>
              <w:jc w:val="both"/>
              <w:rPr>
                <w:rFonts w:ascii="Times New Roman" w:eastAsia="Times New Roman" w:hAnsi="Times New Roman" w:cs="Times New Roman"/>
                <w:b/>
                <w:bCs/>
                <w:sz w:val="20"/>
              </w:rPr>
            </w:pPr>
            <w:r w:rsidRPr="00385576">
              <w:rPr>
                <w:rFonts w:ascii="Times New Roman" w:eastAsia="Times New Roman" w:hAnsi="Times New Roman" w:cs="Times New Roman"/>
                <w:bCs/>
                <w:sz w:val="20"/>
              </w:rPr>
              <w:t>Mais</w:t>
            </w:r>
          </w:p>
        </w:tc>
        <w:tc>
          <w:tcPr>
            <w:tcW w:w="2520" w:type="pct"/>
            <w:shd w:val="clear" w:color="auto" w:fill="auto"/>
            <w:noWrap/>
            <w:hideMark/>
          </w:tcPr>
          <w:p w:rsidR="00AB1D5F" w:rsidRPr="00385576" w:rsidRDefault="00AB1D5F" w:rsidP="00AB1D5F">
            <w:pPr>
              <w:spacing w:after="0" w:line="240" w:lineRule="auto"/>
              <w:jc w:val="both"/>
              <w:rPr>
                <w:rFonts w:ascii="Times New Roman" w:eastAsia="Times New Roman" w:hAnsi="Times New Roman" w:cs="Times New Roman"/>
                <w:sz w:val="20"/>
              </w:rPr>
            </w:pPr>
            <w:r w:rsidRPr="00385576">
              <w:rPr>
                <w:rFonts w:ascii="Times New Roman" w:eastAsia="Times New Roman" w:hAnsi="Times New Roman" w:cs="Times New Roman"/>
                <w:sz w:val="20"/>
              </w:rPr>
              <w:t>46,67</w:t>
            </w:r>
          </w:p>
        </w:tc>
      </w:tr>
      <w:tr w:rsidR="00AB1D5F" w:rsidRPr="00385576" w:rsidTr="00AB1D5F">
        <w:trPr>
          <w:trHeight w:val="20"/>
        </w:trPr>
        <w:tc>
          <w:tcPr>
            <w:tcW w:w="2480" w:type="pct"/>
            <w:shd w:val="clear" w:color="auto" w:fill="auto"/>
            <w:hideMark/>
          </w:tcPr>
          <w:p w:rsidR="00AB1D5F" w:rsidRPr="00385576" w:rsidRDefault="00AB1D5F" w:rsidP="00AB1D5F">
            <w:pPr>
              <w:spacing w:after="0" w:line="240" w:lineRule="auto"/>
              <w:ind w:left="708"/>
              <w:jc w:val="both"/>
              <w:rPr>
                <w:rFonts w:ascii="Times New Roman" w:eastAsia="Times New Roman" w:hAnsi="Times New Roman" w:cs="Times New Roman"/>
                <w:b/>
                <w:bCs/>
                <w:sz w:val="20"/>
              </w:rPr>
            </w:pPr>
            <w:r w:rsidRPr="00385576">
              <w:rPr>
                <w:rFonts w:ascii="Times New Roman" w:eastAsia="Times New Roman" w:hAnsi="Times New Roman" w:cs="Times New Roman"/>
                <w:bCs/>
                <w:sz w:val="20"/>
              </w:rPr>
              <w:lastRenderedPageBreak/>
              <w:t xml:space="preserve">Riz </w:t>
            </w:r>
          </w:p>
        </w:tc>
        <w:tc>
          <w:tcPr>
            <w:tcW w:w="2520" w:type="pct"/>
            <w:shd w:val="clear" w:color="auto" w:fill="auto"/>
            <w:noWrap/>
            <w:hideMark/>
          </w:tcPr>
          <w:p w:rsidR="00AB1D5F" w:rsidRPr="00385576" w:rsidRDefault="00AB1D5F" w:rsidP="00AB1D5F">
            <w:pPr>
              <w:spacing w:after="0" w:line="240" w:lineRule="auto"/>
              <w:jc w:val="both"/>
              <w:rPr>
                <w:rFonts w:ascii="Times New Roman" w:eastAsia="Times New Roman" w:hAnsi="Times New Roman" w:cs="Times New Roman"/>
                <w:sz w:val="20"/>
              </w:rPr>
            </w:pPr>
            <w:r w:rsidRPr="00385576">
              <w:rPr>
                <w:rFonts w:ascii="Times New Roman" w:eastAsia="Times New Roman" w:hAnsi="Times New Roman" w:cs="Times New Roman"/>
                <w:sz w:val="20"/>
              </w:rPr>
              <w:t>0</w:t>
            </w:r>
          </w:p>
        </w:tc>
      </w:tr>
      <w:tr w:rsidR="00AB1D5F" w:rsidRPr="00385576" w:rsidTr="00AB1D5F">
        <w:trPr>
          <w:trHeight w:val="20"/>
        </w:trPr>
        <w:tc>
          <w:tcPr>
            <w:tcW w:w="2480" w:type="pct"/>
            <w:shd w:val="clear" w:color="auto" w:fill="auto"/>
            <w:noWrap/>
            <w:hideMark/>
          </w:tcPr>
          <w:p w:rsidR="00AB1D5F" w:rsidRPr="00385576" w:rsidRDefault="00AB1D5F" w:rsidP="00AB1D5F">
            <w:pPr>
              <w:spacing w:after="0" w:line="240" w:lineRule="auto"/>
              <w:ind w:left="708"/>
              <w:jc w:val="both"/>
              <w:rPr>
                <w:rFonts w:ascii="Times New Roman" w:eastAsia="Times New Roman" w:hAnsi="Times New Roman" w:cs="Times New Roman"/>
                <w:b/>
                <w:bCs/>
                <w:sz w:val="20"/>
              </w:rPr>
            </w:pPr>
            <w:r w:rsidRPr="00385576">
              <w:rPr>
                <w:rFonts w:ascii="Times New Roman" w:eastAsia="Times New Roman" w:hAnsi="Times New Roman" w:cs="Times New Roman"/>
                <w:bCs/>
                <w:sz w:val="20"/>
              </w:rPr>
              <w:t xml:space="preserve">Fonio </w:t>
            </w:r>
          </w:p>
        </w:tc>
        <w:tc>
          <w:tcPr>
            <w:tcW w:w="2520" w:type="pct"/>
            <w:shd w:val="clear" w:color="auto" w:fill="auto"/>
            <w:noWrap/>
            <w:hideMark/>
          </w:tcPr>
          <w:p w:rsidR="00AB1D5F" w:rsidRPr="00385576" w:rsidRDefault="00AB1D5F" w:rsidP="00AB1D5F">
            <w:pPr>
              <w:spacing w:after="0" w:line="240" w:lineRule="auto"/>
              <w:jc w:val="both"/>
              <w:rPr>
                <w:rFonts w:ascii="Times New Roman" w:eastAsia="Times New Roman" w:hAnsi="Times New Roman" w:cs="Times New Roman"/>
                <w:sz w:val="20"/>
              </w:rPr>
            </w:pPr>
            <w:r w:rsidRPr="00385576">
              <w:rPr>
                <w:rFonts w:ascii="Times New Roman" w:eastAsia="Times New Roman" w:hAnsi="Times New Roman" w:cs="Times New Roman"/>
                <w:sz w:val="20"/>
              </w:rPr>
              <w:t>0</w:t>
            </w:r>
          </w:p>
        </w:tc>
      </w:tr>
    </w:tbl>
    <w:p w:rsidR="00AB1D5F" w:rsidRPr="00B423E0" w:rsidRDefault="00AB1D5F" w:rsidP="00AB1D5F">
      <w:pPr>
        <w:rPr>
          <w:rFonts w:ascii="Times New Roman" w:hAnsi="Times New Roman" w:cs="Times New Roman"/>
          <w:b/>
          <w:sz w:val="28"/>
          <w:szCs w:val="28"/>
        </w:rPr>
      </w:pPr>
      <w:r w:rsidRPr="00B423E0">
        <w:rPr>
          <w:rFonts w:ascii="Times New Roman" w:hAnsi="Times New Roman" w:cs="Times New Roman"/>
        </w:rPr>
        <w:t>Source : Enquête PAPA, 2018</w:t>
      </w:r>
    </w:p>
    <w:p w:rsidR="00AB1D5F" w:rsidRPr="00385576" w:rsidRDefault="008D2E32" w:rsidP="00AB1D5F">
      <w:pPr>
        <w:spacing w:before="120" w:after="120" w:line="360" w:lineRule="auto"/>
        <w:jc w:val="both"/>
        <w:rPr>
          <w:rFonts w:ascii="Times New Roman" w:hAnsi="Times New Roman" w:cs="Times New Roman"/>
          <w:szCs w:val="24"/>
        </w:rPr>
      </w:pPr>
      <w:r>
        <w:rPr>
          <w:rFonts w:ascii="Times New Roman" w:hAnsi="Times New Roman" w:cs="Times New Roman"/>
          <w:szCs w:val="24"/>
        </w:rPr>
        <w:t xml:space="preserve">L’analyse du tableau </w:t>
      </w:r>
      <w:r w:rsidR="00AB1D5F" w:rsidRPr="00385576">
        <w:rPr>
          <w:rFonts w:ascii="Times New Roman" w:hAnsi="Times New Roman" w:cs="Times New Roman"/>
          <w:szCs w:val="24"/>
        </w:rPr>
        <w:t xml:space="preserve">11 montre que pour 93% des grossistes de céréales vendant du mil, l’accès au produit est facile, tout comme pour 83% des grossistes vendeurs de sorgho pour cette dernière. Il en est de même pour le maïs (88% des grossistes vendeurs de maïs) et le fonio (67% de ses vendeurs). Par ailleurs, pour les grossistes ne trouvant pas l’accès facile </w:t>
      </w:r>
      <w:proofErr w:type="gramStart"/>
      <w:r w:rsidR="00AB1D5F" w:rsidRPr="00385576">
        <w:rPr>
          <w:rFonts w:ascii="Times New Roman" w:hAnsi="Times New Roman" w:cs="Times New Roman"/>
          <w:szCs w:val="24"/>
        </w:rPr>
        <w:t>au</w:t>
      </w:r>
      <w:proofErr w:type="gramEnd"/>
      <w:r w:rsidR="00AB1D5F" w:rsidRPr="00385576">
        <w:rPr>
          <w:rFonts w:ascii="Times New Roman" w:hAnsi="Times New Roman" w:cs="Times New Roman"/>
          <w:szCs w:val="24"/>
        </w:rPr>
        <w:t xml:space="preserve"> mil grains, l’offre de mil serait insuffisante à certaines périodes. La difficulté d’accès au sorgho et au fonio serait également liée à cette insuffisance de l’offre à certaines périodes. Pour les commerçants jugeant difficile l’accès au maïs, les principales raisons seraient des prix très élevés et une offre insuffisante à certaines périodes. </w:t>
      </w:r>
    </w:p>
    <w:p w:rsidR="00AB1D5F" w:rsidRPr="00385576" w:rsidRDefault="00AB1D5F" w:rsidP="00AB1D5F">
      <w:pPr>
        <w:spacing w:after="200" w:line="240" w:lineRule="auto"/>
        <w:rPr>
          <w:rFonts w:ascii="Times New Roman" w:hAnsi="Times New Roman" w:cs="Times New Roman"/>
          <w:iCs/>
          <w:sz w:val="24"/>
          <w:szCs w:val="18"/>
        </w:rPr>
      </w:pPr>
      <w:bookmarkStart w:id="54" w:name="_Toc1484428"/>
      <w:bookmarkStart w:id="55" w:name="_Toc3549380"/>
      <w:bookmarkStart w:id="56" w:name="_Toc34828006"/>
      <w:r w:rsidRPr="00385576">
        <w:rPr>
          <w:rFonts w:ascii="Times New Roman" w:hAnsi="Times New Roman" w:cs="Times New Roman"/>
          <w:b/>
          <w:iCs/>
          <w:szCs w:val="18"/>
        </w:rPr>
        <w:t xml:space="preserve">Tableau </w:t>
      </w:r>
      <w:r w:rsidRPr="00385576">
        <w:rPr>
          <w:rFonts w:ascii="Times New Roman" w:hAnsi="Times New Roman" w:cs="Times New Roman"/>
          <w:b/>
          <w:iCs/>
          <w:szCs w:val="18"/>
        </w:rPr>
        <w:fldChar w:fldCharType="begin"/>
      </w:r>
      <w:r w:rsidRPr="00385576">
        <w:rPr>
          <w:rFonts w:ascii="Times New Roman" w:hAnsi="Times New Roman" w:cs="Times New Roman"/>
          <w:b/>
          <w:iCs/>
          <w:szCs w:val="18"/>
        </w:rPr>
        <w:instrText xml:space="preserve"> SEQ Tableau \* ARABIC \s 1 </w:instrText>
      </w:r>
      <w:r w:rsidRPr="00385576">
        <w:rPr>
          <w:rFonts w:ascii="Times New Roman" w:hAnsi="Times New Roman" w:cs="Times New Roman"/>
          <w:b/>
          <w:iCs/>
          <w:szCs w:val="18"/>
        </w:rPr>
        <w:fldChar w:fldCharType="separate"/>
      </w:r>
      <w:r w:rsidRPr="00385576">
        <w:rPr>
          <w:rFonts w:ascii="Times New Roman" w:hAnsi="Times New Roman" w:cs="Times New Roman"/>
          <w:b/>
          <w:iCs/>
          <w:noProof/>
          <w:szCs w:val="18"/>
        </w:rPr>
        <w:t>11</w:t>
      </w:r>
      <w:r w:rsidRPr="00385576">
        <w:rPr>
          <w:rFonts w:ascii="Times New Roman" w:hAnsi="Times New Roman" w:cs="Times New Roman"/>
          <w:b/>
          <w:iCs/>
          <w:szCs w:val="18"/>
        </w:rPr>
        <w:fldChar w:fldCharType="end"/>
      </w:r>
      <w:r w:rsidRPr="00385576">
        <w:rPr>
          <w:rFonts w:ascii="Times New Roman" w:hAnsi="Times New Roman" w:cs="Times New Roman"/>
          <w:iCs/>
          <w:szCs w:val="18"/>
        </w:rPr>
        <w:t> : Accès aux céréales sèches</w:t>
      </w:r>
      <w:bookmarkEnd w:id="54"/>
      <w:bookmarkEnd w:id="55"/>
      <w:bookmarkEnd w:id="56"/>
      <w:r w:rsidRPr="00385576">
        <w:rPr>
          <w:rFonts w:ascii="Times New Roman" w:hAnsi="Times New Roman" w:cs="Times New Roman"/>
          <w:iCs/>
          <w:szCs w:val="18"/>
        </w:rPr>
        <w:t xml:space="preser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882"/>
        <w:gridCol w:w="1165"/>
        <w:gridCol w:w="1425"/>
        <w:gridCol w:w="1294"/>
        <w:gridCol w:w="1296"/>
      </w:tblGrid>
      <w:tr w:rsidR="00AB1D5F" w:rsidRPr="00385576" w:rsidTr="00AB1D5F">
        <w:trPr>
          <w:trHeight w:val="441"/>
        </w:trPr>
        <w:tc>
          <w:tcPr>
            <w:tcW w:w="2142" w:type="pct"/>
            <w:shd w:val="clear" w:color="auto" w:fill="auto"/>
            <w:hideMark/>
          </w:tcPr>
          <w:p w:rsidR="00AB1D5F" w:rsidRPr="00385576" w:rsidRDefault="00AB1D5F" w:rsidP="00AB1D5F">
            <w:pPr>
              <w:spacing w:after="0" w:line="240" w:lineRule="auto"/>
              <w:rPr>
                <w:rFonts w:ascii="Times New Roman" w:eastAsia="Times New Roman" w:hAnsi="Times New Roman" w:cs="Times New Roman"/>
                <w:b/>
                <w:bCs/>
                <w:color w:val="000000"/>
                <w:sz w:val="20"/>
                <w:lang w:eastAsia="fr-FR"/>
              </w:rPr>
            </w:pPr>
            <w:r w:rsidRPr="00385576">
              <w:rPr>
                <w:rFonts w:ascii="Times New Roman" w:eastAsia="Times New Roman" w:hAnsi="Times New Roman" w:cs="Times New Roman"/>
                <w:b/>
                <w:bCs/>
                <w:color w:val="000000"/>
                <w:sz w:val="20"/>
                <w:lang w:eastAsia="fr-FR"/>
              </w:rPr>
              <w:t>Facilité d'accès aux produits (N=87)</w:t>
            </w:r>
          </w:p>
        </w:tc>
        <w:tc>
          <w:tcPr>
            <w:tcW w:w="643"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lang w:eastAsia="fr-FR"/>
              </w:rPr>
            </w:pPr>
            <w:r w:rsidRPr="00385576">
              <w:rPr>
                <w:rFonts w:ascii="Times New Roman" w:eastAsia="Times New Roman" w:hAnsi="Times New Roman" w:cs="Times New Roman"/>
                <w:b/>
                <w:bCs/>
                <w:color w:val="000000"/>
                <w:sz w:val="20"/>
                <w:lang w:eastAsia="fr-FR"/>
              </w:rPr>
              <w:t xml:space="preserve">Mil </w:t>
            </w:r>
            <w:proofErr w:type="gramStart"/>
            <w:r w:rsidRPr="00385576">
              <w:rPr>
                <w:rFonts w:ascii="Times New Roman" w:eastAsia="Times New Roman" w:hAnsi="Times New Roman" w:cs="Times New Roman"/>
                <w:b/>
                <w:bCs/>
                <w:color w:val="000000"/>
                <w:sz w:val="20"/>
                <w:lang w:eastAsia="fr-FR"/>
              </w:rPr>
              <w:t>grain</w:t>
            </w:r>
            <w:proofErr w:type="gramEnd"/>
            <w:r w:rsidRPr="00385576">
              <w:rPr>
                <w:rFonts w:ascii="Times New Roman" w:eastAsia="Times New Roman" w:hAnsi="Times New Roman" w:cs="Times New Roman"/>
                <w:b/>
                <w:bCs/>
                <w:color w:val="000000"/>
                <w:sz w:val="20"/>
                <w:lang w:eastAsia="fr-FR"/>
              </w:rPr>
              <w:t xml:space="preserve"> </w:t>
            </w:r>
          </w:p>
        </w:tc>
        <w:tc>
          <w:tcPr>
            <w:tcW w:w="786"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lang w:eastAsia="fr-FR"/>
              </w:rPr>
            </w:pPr>
            <w:r w:rsidRPr="00385576">
              <w:rPr>
                <w:rFonts w:ascii="Times New Roman" w:eastAsia="Times New Roman" w:hAnsi="Times New Roman" w:cs="Times New Roman"/>
                <w:b/>
                <w:bCs/>
                <w:color w:val="000000"/>
                <w:sz w:val="20"/>
                <w:lang w:eastAsia="fr-FR"/>
              </w:rPr>
              <w:t>Sorgho grain</w:t>
            </w:r>
          </w:p>
        </w:tc>
        <w:tc>
          <w:tcPr>
            <w:tcW w:w="714"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lang w:eastAsia="fr-FR"/>
              </w:rPr>
            </w:pPr>
            <w:r w:rsidRPr="00385576">
              <w:rPr>
                <w:rFonts w:ascii="Times New Roman" w:eastAsia="Times New Roman" w:hAnsi="Times New Roman" w:cs="Times New Roman"/>
                <w:b/>
                <w:bCs/>
                <w:color w:val="000000"/>
                <w:sz w:val="20"/>
                <w:lang w:eastAsia="fr-FR"/>
              </w:rPr>
              <w:t>Maïs grain</w:t>
            </w:r>
          </w:p>
        </w:tc>
        <w:tc>
          <w:tcPr>
            <w:tcW w:w="715"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lang w:eastAsia="fr-FR"/>
              </w:rPr>
            </w:pPr>
            <w:r w:rsidRPr="00385576">
              <w:rPr>
                <w:rFonts w:ascii="Times New Roman" w:eastAsia="Times New Roman" w:hAnsi="Times New Roman" w:cs="Times New Roman"/>
                <w:b/>
                <w:bCs/>
                <w:color w:val="000000"/>
                <w:sz w:val="20"/>
                <w:lang w:eastAsia="fr-FR"/>
              </w:rPr>
              <w:t>Fonio grain</w:t>
            </w:r>
          </w:p>
        </w:tc>
      </w:tr>
      <w:tr w:rsidR="00AB1D5F" w:rsidRPr="00385576" w:rsidTr="00AB1D5F">
        <w:trPr>
          <w:trHeight w:val="87"/>
        </w:trPr>
        <w:tc>
          <w:tcPr>
            <w:tcW w:w="2142" w:type="pct"/>
            <w:shd w:val="clear" w:color="auto" w:fill="auto"/>
            <w:hideMark/>
          </w:tcPr>
          <w:p w:rsidR="00AB1D5F" w:rsidRPr="00385576" w:rsidRDefault="00AB1D5F" w:rsidP="00AB1D5F">
            <w:pPr>
              <w:spacing w:after="0" w:line="240" w:lineRule="auto"/>
              <w:ind w:firstLineChars="300" w:firstLine="602"/>
              <w:rPr>
                <w:rFonts w:ascii="Times New Roman" w:eastAsia="Times New Roman" w:hAnsi="Times New Roman" w:cs="Times New Roman"/>
                <w:b/>
                <w:bCs/>
                <w:color w:val="000000"/>
                <w:sz w:val="20"/>
                <w:lang w:eastAsia="fr-FR"/>
              </w:rPr>
            </w:pPr>
            <w:r w:rsidRPr="00385576">
              <w:rPr>
                <w:rFonts w:ascii="Times New Roman" w:eastAsia="Times New Roman" w:hAnsi="Times New Roman" w:cs="Times New Roman"/>
                <w:b/>
                <w:bCs/>
                <w:color w:val="000000"/>
                <w:sz w:val="20"/>
                <w:lang w:eastAsia="fr-FR"/>
              </w:rPr>
              <w:t>Oui</w:t>
            </w:r>
          </w:p>
        </w:tc>
        <w:tc>
          <w:tcPr>
            <w:tcW w:w="643"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93%</w:t>
            </w:r>
          </w:p>
        </w:tc>
        <w:tc>
          <w:tcPr>
            <w:tcW w:w="786"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83%</w:t>
            </w:r>
          </w:p>
        </w:tc>
        <w:tc>
          <w:tcPr>
            <w:tcW w:w="714"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88%</w:t>
            </w:r>
          </w:p>
        </w:tc>
        <w:tc>
          <w:tcPr>
            <w:tcW w:w="715"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67%</w:t>
            </w:r>
          </w:p>
        </w:tc>
      </w:tr>
      <w:tr w:rsidR="00AB1D5F" w:rsidRPr="00385576" w:rsidTr="00AB1D5F">
        <w:trPr>
          <w:trHeight w:val="87"/>
        </w:trPr>
        <w:tc>
          <w:tcPr>
            <w:tcW w:w="2142" w:type="pct"/>
            <w:shd w:val="clear" w:color="auto" w:fill="auto"/>
            <w:hideMark/>
          </w:tcPr>
          <w:p w:rsidR="00AB1D5F" w:rsidRPr="00385576" w:rsidRDefault="00AB1D5F" w:rsidP="00AB1D5F">
            <w:pPr>
              <w:spacing w:after="0" w:line="240" w:lineRule="auto"/>
              <w:ind w:firstLineChars="300" w:firstLine="602"/>
              <w:rPr>
                <w:rFonts w:ascii="Times New Roman" w:eastAsia="Times New Roman" w:hAnsi="Times New Roman" w:cs="Times New Roman"/>
                <w:b/>
                <w:bCs/>
                <w:color w:val="000000"/>
                <w:sz w:val="20"/>
                <w:lang w:eastAsia="fr-FR"/>
              </w:rPr>
            </w:pPr>
            <w:r w:rsidRPr="00385576">
              <w:rPr>
                <w:rFonts w:ascii="Times New Roman" w:eastAsia="Times New Roman" w:hAnsi="Times New Roman" w:cs="Times New Roman"/>
                <w:b/>
                <w:bCs/>
                <w:color w:val="000000"/>
                <w:sz w:val="20"/>
                <w:lang w:eastAsia="fr-FR"/>
              </w:rPr>
              <w:t>Non</w:t>
            </w:r>
          </w:p>
        </w:tc>
        <w:tc>
          <w:tcPr>
            <w:tcW w:w="643"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16%</w:t>
            </w:r>
          </w:p>
        </w:tc>
        <w:tc>
          <w:tcPr>
            <w:tcW w:w="786"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17%</w:t>
            </w:r>
          </w:p>
        </w:tc>
        <w:tc>
          <w:tcPr>
            <w:tcW w:w="714"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13%</w:t>
            </w:r>
          </w:p>
        </w:tc>
        <w:tc>
          <w:tcPr>
            <w:tcW w:w="715"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33%</w:t>
            </w:r>
          </w:p>
        </w:tc>
      </w:tr>
      <w:tr w:rsidR="00AB1D5F" w:rsidRPr="00385576" w:rsidTr="00AB1D5F">
        <w:trPr>
          <w:trHeight w:val="188"/>
        </w:trPr>
        <w:tc>
          <w:tcPr>
            <w:tcW w:w="2142" w:type="pct"/>
            <w:shd w:val="clear" w:color="auto" w:fill="auto"/>
            <w:hideMark/>
          </w:tcPr>
          <w:p w:rsidR="00AB1D5F" w:rsidRPr="00385576" w:rsidRDefault="00AB1D5F" w:rsidP="00AB1D5F">
            <w:pPr>
              <w:spacing w:after="0" w:line="240" w:lineRule="auto"/>
              <w:rPr>
                <w:rFonts w:ascii="Times New Roman" w:eastAsia="Times New Roman" w:hAnsi="Times New Roman" w:cs="Times New Roman"/>
                <w:b/>
                <w:bCs/>
                <w:color w:val="000000"/>
                <w:sz w:val="20"/>
                <w:lang w:eastAsia="fr-FR"/>
              </w:rPr>
            </w:pPr>
            <w:r w:rsidRPr="00385576">
              <w:rPr>
                <w:rFonts w:ascii="Times New Roman" w:eastAsia="Times New Roman" w:hAnsi="Times New Roman" w:cs="Times New Roman"/>
                <w:b/>
                <w:bCs/>
                <w:color w:val="000000"/>
                <w:sz w:val="20"/>
                <w:lang w:eastAsia="fr-FR"/>
              </w:rPr>
              <w:t>Raisons d'inaccessibilité aux produits si c'est le cas (%)</w:t>
            </w:r>
          </w:p>
        </w:tc>
        <w:tc>
          <w:tcPr>
            <w:tcW w:w="643"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sz w:val="20"/>
                <w:lang w:eastAsia="fr-FR"/>
              </w:rPr>
            </w:pPr>
          </w:p>
        </w:tc>
        <w:tc>
          <w:tcPr>
            <w:tcW w:w="786"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sz w:val="20"/>
                <w:lang w:eastAsia="fr-FR"/>
              </w:rPr>
            </w:pPr>
          </w:p>
        </w:tc>
        <w:tc>
          <w:tcPr>
            <w:tcW w:w="714"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sz w:val="20"/>
                <w:lang w:eastAsia="fr-FR"/>
              </w:rPr>
            </w:pPr>
          </w:p>
        </w:tc>
        <w:tc>
          <w:tcPr>
            <w:tcW w:w="715"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sz w:val="20"/>
                <w:lang w:eastAsia="fr-FR"/>
              </w:rPr>
            </w:pPr>
          </w:p>
        </w:tc>
      </w:tr>
      <w:tr w:rsidR="00AB1D5F" w:rsidRPr="00385576" w:rsidTr="00AB1D5F">
        <w:trPr>
          <w:trHeight w:val="145"/>
        </w:trPr>
        <w:tc>
          <w:tcPr>
            <w:tcW w:w="2142" w:type="pct"/>
            <w:shd w:val="clear" w:color="auto" w:fill="auto"/>
            <w:hideMark/>
          </w:tcPr>
          <w:p w:rsidR="00AB1D5F" w:rsidRPr="00385576" w:rsidRDefault="00AB1D5F" w:rsidP="00AB1D5F">
            <w:pPr>
              <w:spacing w:after="0" w:line="240" w:lineRule="auto"/>
              <w:ind w:firstLineChars="300" w:firstLine="602"/>
              <w:rPr>
                <w:rFonts w:ascii="Times New Roman" w:eastAsia="Times New Roman" w:hAnsi="Times New Roman" w:cs="Times New Roman"/>
                <w:b/>
                <w:bCs/>
                <w:color w:val="000000"/>
                <w:sz w:val="20"/>
                <w:lang w:eastAsia="fr-FR"/>
              </w:rPr>
            </w:pPr>
            <w:r w:rsidRPr="00385576">
              <w:rPr>
                <w:rFonts w:ascii="Times New Roman" w:eastAsia="Times New Roman" w:hAnsi="Times New Roman" w:cs="Times New Roman"/>
                <w:b/>
                <w:bCs/>
                <w:color w:val="000000"/>
                <w:sz w:val="20"/>
                <w:lang w:eastAsia="fr-FR"/>
              </w:rPr>
              <w:t>Offre insuffisante à certaines périodes</w:t>
            </w:r>
          </w:p>
        </w:tc>
        <w:tc>
          <w:tcPr>
            <w:tcW w:w="643"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13%</w:t>
            </w:r>
          </w:p>
        </w:tc>
        <w:tc>
          <w:tcPr>
            <w:tcW w:w="786"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17%</w:t>
            </w:r>
          </w:p>
        </w:tc>
        <w:tc>
          <w:tcPr>
            <w:tcW w:w="714"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8%</w:t>
            </w:r>
          </w:p>
        </w:tc>
        <w:tc>
          <w:tcPr>
            <w:tcW w:w="715"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33%</w:t>
            </w:r>
          </w:p>
        </w:tc>
      </w:tr>
      <w:tr w:rsidR="00AB1D5F" w:rsidRPr="00385576" w:rsidTr="00AB1D5F">
        <w:trPr>
          <w:trHeight w:val="157"/>
        </w:trPr>
        <w:tc>
          <w:tcPr>
            <w:tcW w:w="2142" w:type="pct"/>
            <w:shd w:val="clear" w:color="auto" w:fill="auto"/>
            <w:hideMark/>
          </w:tcPr>
          <w:p w:rsidR="00AB1D5F" w:rsidRPr="00385576" w:rsidRDefault="00AB1D5F" w:rsidP="00AB1D5F">
            <w:pPr>
              <w:spacing w:after="0" w:line="240" w:lineRule="auto"/>
              <w:ind w:firstLineChars="300" w:firstLine="602"/>
              <w:rPr>
                <w:rFonts w:ascii="Times New Roman" w:eastAsia="Times New Roman" w:hAnsi="Times New Roman" w:cs="Times New Roman"/>
                <w:b/>
                <w:bCs/>
                <w:color w:val="000000"/>
                <w:sz w:val="20"/>
                <w:lang w:eastAsia="fr-FR"/>
              </w:rPr>
            </w:pPr>
            <w:r w:rsidRPr="00385576">
              <w:rPr>
                <w:rFonts w:ascii="Times New Roman" w:eastAsia="Times New Roman" w:hAnsi="Times New Roman" w:cs="Times New Roman"/>
                <w:b/>
                <w:bCs/>
                <w:color w:val="000000"/>
                <w:sz w:val="20"/>
                <w:lang w:eastAsia="fr-FR"/>
              </w:rPr>
              <w:t>Prix trop élevé à certaines périodes</w:t>
            </w:r>
          </w:p>
        </w:tc>
        <w:tc>
          <w:tcPr>
            <w:tcW w:w="643"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4%</w:t>
            </w:r>
          </w:p>
        </w:tc>
        <w:tc>
          <w:tcPr>
            <w:tcW w:w="786"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13%</w:t>
            </w:r>
          </w:p>
        </w:tc>
        <w:tc>
          <w:tcPr>
            <w:tcW w:w="714"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4%</w:t>
            </w:r>
          </w:p>
        </w:tc>
        <w:tc>
          <w:tcPr>
            <w:tcW w:w="715"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0%</w:t>
            </w:r>
          </w:p>
        </w:tc>
      </w:tr>
      <w:tr w:rsidR="00AB1D5F" w:rsidRPr="00385576" w:rsidTr="00AB1D5F">
        <w:trPr>
          <w:trHeight w:val="60"/>
        </w:trPr>
        <w:tc>
          <w:tcPr>
            <w:tcW w:w="2142" w:type="pct"/>
            <w:shd w:val="clear" w:color="auto" w:fill="auto"/>
            <w:hideMark/>
          </w:tcPr>
          <w:p w:rsidR="00AB1D5F" w:rsidRPr="00385576" w:rsidRDefault="00AB1D5F" w:rsidP="00AB1D5F">
            <w:pPr>
              <w:spacing w:after="0" w:line="240" w:lineRule="auto"/>
              <w:ind w:firstLineChars="300" w:firstLine="602"/>
              <w:rPr>
                <w:rFonts w:ascii="Times New Roman" w:eastAsia="Times New Roman" w:hAnsi="Times New Roman" w:cs="Times New Roman"/>
                <w:b/>
                <w:bCs/>
                <w:color w:val="000000"/>
                <w:sz w:val="20"/>
                <w:lang w:eastAsia="fr-FR"/>
              </w:rPr>
            </w:pPr>
            <w:r w:rsidRPr="00385576">
              <w:rPr>
                <w:rFonts w:ascii="Times New Roman" w:eastAsia="Times New Roman" w:hAnsi="Times New Roman" w:cs="Times New Roman"/>
                <w:b/>
                <w:bCs/>
                <w:color w:val="000000"/>
                <w:sz w:val="20"/>
                <w:lang w:eastAsia="fr-FR"/>
              </w:rPr>
              <w:t xml:space="preserve">Qualité insatisfaisante à certaines périodes </w:t>
            </w:r>
          </w:p>
        </w:tc>
        <w:tc>
          <w:tcPr>
            <w:tcW w:w="643"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0%</w:t>
            </w:r>
          </w:p>
        </w:tc>
        <w:tc>
          <w:tcPr>
            <w:tcW w:w="786"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4%</w:t>
            </w:r>
          </w:p>
        </w:tc>
        <w:tc>
          <w:tcPr>
            <w:tcW w:w="714"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2%</w:t>
            </w:r>
          </w:p>
        </w:tc>
        <w:tc>
          <w:tcPr>
            <w:tcW w:w="715" w:type="pct"/>
            <w:shd w:val="clear" w:color="auto" w:fill="auto"/>
            <w:noWrap/>
            <w:vAlign w:val="bottom"/>
            <w:hideMark/>
          </w:tcPr>
          <w:p w:rsidR="00AB1D5F" w:rsidRPr="00385576" w:rsidRDefault="00AB1D5F" w:rsidP="00AB1D5F">
            <w:pPr>
              <w:spacing w:after="0" w:line="240" w:lineRule="auto"/>
              <w:jc w:val="right"/>
              <w:rPr>
                <w:rFonts w:ascii="Times New Roman" w:eastAsia="Times New Roman" w:hAnsi="Times New Roman" w:cs="Times New Roman"/>
                <w:color w:val="000000"/>
                <w:sz w:val="20"/>
                <w:lang w:eastAsia="fr-FR"/>
              </w:rPr>
            </w:pPr>
            <w:r w:rsidRPr="00385576">
              <w:rPr>
                <w:rFonts w:ascii="Times New Roman" w:eastAsia="Times New Roman" w:hAnsi="Times New Roman" w:cs="Times New Roman"/>
                <w:color w:val="000000"/>
                <w:sz w:val="20"/>
                <w:lang w:eastAsia="fr-FR"/>
              </w:rPr>
              <w:t>0%</w:t>
            </w:r>
          </w:p>
        </w:tc>
      </w:tr>
    </w:tbl>
    <w:p w:rsidR="00AB1D5F" w:rsidRPr="00B423E0" w:rsidRDefault="00AB1D5F" w:rsidP="00AB1D5F">
      <w:pPr>
        <w:rPr>
          <w:rFonts w:ascii="Times New Roman" w:hAnsi="Times New Roman" w:cs="Times New Roman"/>
          <w:b/>
          <w:sz w:val="28"/>
          <w:szCs w:val="28"/>
        </w:rPr>
      </w:pPr>
      <w:r w:rsidRPr="00B423E0">
        <w:rPr>
          <w:rFonts w:ascii="Times New Roman" w:hAnsi="Times New Roman" w:cs="Times New Roman"/>
        </w:rPr>
        <w:t>Source : Enquête PAPA, 2018</w:t>
      </w:r>
    </w:p>
    <w:p w:rsidR="00AB1D5F" w:rsidRPr="00385576" w:rsidRDefault="008D2E32" w:rsidP="00AB1D5F">
      <w:pPr>
        <w:spacing w:before="120" w:after="120" w:line="360" w:lineRule="auto"/>
        <w:jc w:val="both"/>
        <w:rPr>
          <w:rFonts w:ascii="Times New Roman" w:hAnsi="Times New Roman" w:cs="Times New Roman"/>
          <w:szCs w:val="24"/>
        </w:rPr>
      </w:pPr>
      <w:r>
        <w:rPr>
          <w:rFonts w:ascii="Times New Roman" w:hAnsi="Times New Roman" w:cs="Times New Roman"/>
          <w:szCs w:val="24"/>
        </w:rPr>
        <w:t xml:space="preserve">Le tableau </w:t>
      </w:r>
      <w:r w:rsidR="00AB1D5F" w:rsidRPr="00385576">
        <w:rPr>
          <w:rFonts w:ascii="Times New Roman" w:hAnsi="Times New Roman" w:cs="Times New Roman"/>
          <w:szCs w:val="24"/>
        </w:rPr>
        <w:t>12 présente les attributs visuels guidant le choix des grossistes dans leurs achats de céréales. Ainsi, pour toutes les céréales, les attributs les plus importants sont : ‘produit sans impureté’, ‘produit bien calibré’, ‘produit bien conditionné’ et ‘produit bien séché’.  Pour toutes ces céréales, le plus important des attributs aux yeux des commerçants grossistes est le manque d’impureté.</w:t>
      </w:r>
    </w:p>
    <w:p w:rsidR="00AB1D5F" w:rsidRPr="00385576" w:rsidRDefault="00AB1D5F" w:rsidP="00AB1D5F">
      <w:pPr>
        <w:spacing w:after="200" w:line="240" w:lineRule="auto"/>
        <w:rPr>
          <w:rFonts w:ascii="Times New Roman" w:hAnsi="Times New Roman" w:cs="Times New Roman"/>
          <w:iCs/>
          <w:sz w:val="24"/>
          <w:szCs w:val="18"/>
        </w:rPr>
      </w:pPr>
      <w:bookmarkStart w:id="57" w:name="_Toc1484429"/>
      <w:bookmarkStart w:id="58" w:name="_Toc3549381"/>
      <w:bookmarkStart w:id="59" w:name="_Toc34828007"/>
      <w:r w:rsidRPr="00385576">
        <w:rPr>
          <w:rFonts w:ascii="Times New Roman" w:hAnsi="Times New Roman" w:cs="Times New Roman"/>
          <w:b/>
          <w:iCs/>
          <w:szCs w:val="18"/>
        </w:rPr>
        <w:t xml:space="preserve">Tableau </w:t>
      </w:r>
      <w:r w:rsidRPr="00385576">
        <w:rPr>
          <w:rFonts w:ascii="Times New Roman" w:hAnsi="Times New Roman" w:cs="Times New Roman"/>
          <w:b/>
          <w:iCs/>
          <w:szCs w:val="18"/>
        </w:rPr>
        <w:fldChar w:fldCharType="begin"/>
      </w:r>
      <w:r w:rsidRPr="00385576">
        <w:rPr>
          <w:rFonts w:ascii="Times New Roman" w:hAnsi="Times New Roman" w:cs="Times New Roman"/>
          <w:b/>
          <w:iCs/>
          <w:szCs w:val="18"/>
        </w:rPr>
        <w:instrText xml:space="preserve"> SEQ Tableau \* ARABIC \s 1 </w:instrText>
      </w:r>
      <w:r w:rsidRPr="00385576">
        <w:rPr>
          <w:rFonts w:ascii="Times New Roman" w:hAnsi="Times New Roman" w:cs="Times New Roman"/>
          <w:b/>
          <w:iCs/>
          <w:szCs w:val="18"/>
        </w:rPr>
        <w:fldChar w:fldCharType="separate"/>
      </w:r>
      <w:r w:rsidRPr="00385576">
        <w:rPr>
          <w:rFonts w:ascii="Times New Roman" w:hAnsi="Times New Roman" w:cs="Times New Roman"/>
          <w:b/>
          <w:iCs/>
          <w:noProof/>
          <w:szCs w:val="18"/>
        </w:rPr>
        <w:t>12</w:t>
      </w:r>
      <w:r w:rsidRPr="00385576">
        <w:rPr>
          <w:rFonts w:ascii="Times New Roman" w:hAnsi="Times New Roman" w:cs="Times New Roman"/>
          <w:b/>
          <w:iCs/>
          <w:szCs w:val="18"/>
        </w:rPr>
        <w:fldChar w:fldCharType="end"/>
      </w:r>
      <w:r w:rsidRPr="00385576">
        <w:rPr>
          <w:rFonts w:ascii="Times New Roman" w:hAnsi="Times New Roman" w:cs="Times New Roman"/>
          <w:b/>
          <w:iCs/>
          <w:szCs w:val="18"/>
        </w:rPr>
        <w:t> :</w:t>
      </w:r>
      <w:r w:rsidRPr="00385576">
        <w:rPr>
          <w:rFonts w:ascii="Times New Roman" w:hAnsi="Times New Roman" w:cs="Times New Roman"/>
          <w:iCs/>
          <w:szCs w:val="18"/>
        </w:rPr>
        <w:t xml:space="preserve"> Attributs visuels guidant le choix du produit</w:t>
      </w:r>
      <w:bookmarkEnd w:id="57"/>
      <w:bookmarkEnd w:id="58"/>
      <w:bookmarkEnd w:id="59"/>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539"/>
        <w:gridCol w:w="1276"/>
        <w:gridCol w:w="1415"/>
        <w:gridCol w:w="1417"/>
        <w:gridCol w:w="1415"/>
      </w:tblGrid>
      <w:tr w:rsidR="00AB1D5F" w:rsidRPr="00385576" w:rsidTr="00AB1D5F">
        <w:trPr>
          <w:trHeight w:val="394"/>
        </w:trPr>
        <w:tc>
          <w:tcPr>
            <w:tcW w:w="1952" w:type="pct"/>
            <w:shd w:val="clear" w:color="auto" w:fill="auto"/>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
                <w:bCs/>
                <w:color w:val="000000"/>
                <w:sz w:val="20"/>
                <w:szCs w:val="20"/>
                <w:lang w:eastAsia="fr-FR"/>
              </w:rPr>
              <w:t xml:space="preserve">Attributs visuels </w:t>
            </w:r>
          </w:p>
        </w:tc>
        <w:tc>
          <w:tcPr>
            <w:tcW w:w="704"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
                <w:bCs/>
                <w:color w:val="000000"/>
                <w:sz w:val="20"/>
                <w:szCs w:val="20"/>
                <w:lang w:eastAsia="fr-FR"/>
              </w:rPr>
              <w:t xml:space="preserve">Mil </w:t>
            </w:r>
            <w:proofErr w:type="gramStart"/>
            <w:r w:rsidRPr="00385576">
              <w:rPr>
                <w:rFonts w:ascii="Times New Roman" w:eastAsia="Times New Roman" w:hAnsi="Times New Roman" w:cs="Times New Roman"/>
                <w:b/>
                <w:bCs/>
                <w:color w:val="000000"/>
                <w:sz w:val="20"/>
                <w:szCs w:val="20"/>
                <w:lang w:eastAsia="fr-FR"/>
              </w:rPr>
              <w:t>grain</w:t>
            </w:r>
            <w:proofErr w:type="gramEnd"/>
            <w:r w:rsidRPr="00385576">
              <w:rPr>
                <w:rFonts w:ascii="Times New Roman" w:eastAsia="Times New Roman" w:hAnsi="Times New Roman" w:cs="Times New Roman"/>
                <w:b/>
                <w:bCs/>
                <w:color w:val="000000"/>
                <w:sz w:val="20"/>
                <w:szCs w:val="20"/>
                <w:lang w:eastAsia="fr-FR"/>
              </w:rPr>
              <w:t xml:space="preserve"> </w:t>
            </w:r>
          </w:p>
        </w:tc>
        <w:tc>
          <w:tcPr>
            <w:tcW w:w="781"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
                <w:bCs/>
                <w:color w:val="000000"/>
                <w:sz w:val="20"/>
                <w:szCs w:val="20"/>
                <w:lang w:eastAsia="fr-FR"/>
              </w:rPr>
              <w:t>Sorgho grain</w:t>
            </w:r>
          </w:p>
        </w:tc>
        <w:tc>
          <w:tcPr>
            <w:tcW w:w="782"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
                <w:bCs/>
                <w:color w:val="000000"/>
                <w:sz w:val="20"/>
                <w:szCs w:val="20"/>
                <w:lang w:eastAsia="fr-FR"/>
              </w:rPr>
              <w:t>Maïs grain</w:t>
            </w:r>
          </w:p>
        </w:tc>
        <w:tc>
          <w:tcPr>
            <w:tcW w:w="781"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
                <w:bCs/>
                <w:color w:val="000000"/>
                <w:sz w:val="20"/>
                <w:szCs w:val="20"/>
                <w:lang w:eastAsia="fr-FR"/>
              </w:rPr>
              <w:t>Fonio grain</w:t>
            </w:r>
          </w:p>
        </w:tc>
      </w:tr>
      <w:tr w:rsidR="00AB1D5F" w:rsidRPr="00385576" w:rsidTr="00AB1D5F">
        <w:trPr>
          <w:trHeight w:val="249"/>
        </w:trPr>
        <w:tc>
          <w:tcPr>
            <w:tcW w:w="1952"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Produit sans impuretés</w:t>
            </w:r>
          </w:p>
        </w:tc>
        <w:tc>
          <w:tcPr>
            <w:tcW w:w="704"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56%</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26%</w:t>
            </w:r>
          </w:p>
        </w:tc>
        <w:tc>
          <w:tcPr>
            <w:tcW w:w="782"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55%</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3%</w:t>
            </w:r>
          </w:p>
        </w:tc>
      </w:tr>
      <w:tr w:rsidR="00AB1D5F" w:rsidRPr="00385576" w:rsidTr="00AB1D5F">
        <w:trPr>
          <w:trHeight w:val="185"/>
        </w:trPr>
        <w:tc>
          <w:tcPr>
            <w:tcW w:w="1952"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Produit bien calibré</w:t>
            </w:r>
          </w:p>
        </w:tc>
        <w:tc>
          <w:tcPr>
            <w:tcW w:w="704"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45%</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17%</w:t>
            </w:r>
          </w:p>
        </w:tc>
        <w:tc>
          <w:tcPr>
            <w:tcW w:w="782"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40%</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w:t>
            </w:r>
          </w:p>
        </w:tc>
      </w:tr>
      <w:tr w:rsidR="00AB1D5F" w:rsidRPr="00385576" w:rsidTr="00AB1D5F">
        <w:trPr>
          <w:trHeight w:val="276"/>
        </w:trPr>
        <w:tc>
          <w:tcPr>
            <w:tcW w:w="1952"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Produit bien conditionné</w:t>
            </w:r>
          </w:p>
        </w:tc>
        <w:tc>
          <w:tcPr>
            <w:tcW w:w="704"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29%</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20%</w:t>
            </w:r>
          </w:p>
        </w:tc>
        <w:tc>
          <w:tcPr>
            <w:tcW w:w="782"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38%</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3%</w:t>
            </w:r>
          </w:p>
        </w:tc>
      </w:tr>
      <w:tr w:rsidR="00AB1D5F" w:rsidRPr="00385576" w:rsidTr="00AB1D5F">
        <w:trPr>
          <w:trHeight w:val="214"/>
        </w:trPr>
        <w:tc>
          <w:tcPr>
            <w:tcW w:w="1952"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proofErr w:type="gramStart"/>
            <w:r w:rsidRPr="00385576">
              <w:rPr>
                <w:rFonts w:ascii="Times New Roman" w:eastAsia="Times New Roman" w:hAnsi="Times New Roman" w:cs="Times New Roman"/>
                <w:bCs/>
                <w:color w:val="000000"/>
                <w:sz w:val="20"/>
                <w:szCs w:val="20"/>
                <w:lang w:eastAsia="fr-FR"/>
              </w:rPr>
              <w:t>Produit en</w:t>
            </w:r>
            <w:proofErr w:type="gramEnd"/>
            <w:r w:rsidRPr="00385576">
              <w:rPr>
                <w:rFonts w:ascii="Times New Roman" w:eastAsia="Times New Roman" w:hAnsi="Times New Roman" w:cs="Times New Roman"/>
                <w:bCs/>
                <w:color w:val="000000"/>
                <w:sz w:val="20"/>
                <w:szCs w:val="20"/>
                <w:lang w:eastAsia="fr-FR"/>
              </w:rPr>
              <w:t xml:space="preserve"> vrac</w:t>
            </w:r>
          </w:p>
        </w:tc>
        <w:tc>
          <w:tcPr>
            <w:tcW w:w="704"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3%</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w:t>
            </w:r>
          </w:p>
        </w:tc>
        <w:tc>
          <w:tcPr>
            <w:tcW w:w="782"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3%</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0%</w:t>
            </w:r>
          </w:p>
        </w:tc>
      </w:tr>
      <w:tr w:rsidR="00AB1D5F" w:rsidRPr="00385576" w:rsidTr="00AB1D5F">
        <w:trPr>
          <w:trHeight w:val="337"/>
        </w:trPr>
        <w:tc>
          <w:tcPr>
            <w:tcW w:w="1952"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Produit bien séché</w:t>
            </w:r>
          </w:p>
        </w:tc>
        <w:tc>
          <w:tcPr>
            <w:tcW w:w="704"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21%</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8%</w:t>
            </w:r>
          </w:p>
        </w:tc>
        <w:tc>
          <w:tcPr>
            <w:tcW w:w="782"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22%</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1%</w:t>
            </w:r>
          </w:p>
        </w:tc>
      </w:tr>
      <w:tr w:rsidR="00AB1D5F" w:rsidRPr="00385576" w:rsidTr="00AB1D5F">
        <w:trPr>
          <w:trHeight w:val="151"/>
        </w:trPr>
        <w:tc>
          <w:tcPr>
            <w:tcW w:w="1952"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Produit certifié</w:t>
            </w:r>
          </w:p>
        </w:tc>
        <w:tc>
          <w:tcPr>
            <w:tcW w:w="704"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3%</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1%</w:t>
            </w:r>
          </w:p>
        </w:tc>
        <w:tc>
          <w:tcPr>
            <w:tcW w:w="782"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0%</w:t>
            </w:r>
          </w:p>
        </w:tc>
      </w:tr>
      <w:tr w:rsidR="00AB1D5F" w:rsidRPr="00385576" w:rsidTr="00AB1D5F">
        <w:trPr>
          <w:trHeight w:val="151"/>
        </w:trPr>
        <w:tc>
          <w:tcPr>
            <w:tcW w:w="1952"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Variété spécifique (préciser)</w:t>
            </w:r>
          </w:p>
        </w:tc>
        <w:tc>
          <w:tcPr>
            <w:tcW w:w="704"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8%</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0%</w:t>
            </w:r>
          </w:p>
        </w:tc>
        <w:tc>
          <w:tcPr>
            <w:tcW w:w="782"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0%</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0%</w:t>
            </w:r>
          </w:p>
        </w:tc>
      </w:tr>
      <w:tr w:rsidR="00AB1D5F" w:rsidRPr="00385576" w:rsidTr="00AB1D5F">
        <w:trPr>
          <w:trHeight w:val="55"/>
        </w:trPr>
        <w:tc>
          <w:tcPr>
            <w:tcW w:w="1952" w:type="pct"/>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Date de péremption</w:t>
            </w:r>
          </w:p>
        </w:tc>
        <w:tc>
          <w:tcPr>
            <w:tcW w:w="704"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3%</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5%</w:t>
            </w:r>
          </w:p>
        </w:tc>
        <w:tc>
          <w:tcPr>
            <w:tcW w:w="782"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5%</w:t>
            </w:r>
          </w:p>
        </w:tc>
        <w:tc>
          <w:tcPr>
            <w:tcW w:w="781" w:type="pct"/>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0%</w:t>
            </w:r>
          </w:p>
        </w:tc>
      </w:tr>
    </w:tbl>
    <w:p w:rsidR="00AB1D5F" w:rsidRPr="00385576" w:rsidRDefault="00AB1D5F" w:rsidP="00AB1D5F">
      <w:pPr>
        <w:spacing w:line="360" w:lineRule="auto"/>
        <w:jc w:val="both"/>
        <w:rPr>
          <w:rFonts w:ascii="Times New Roman" w:hAnsi="Times New Roman" w:cs="Times New Roman"/>
        </w:rPr>
      </w:pPr>
      <w:r w:rsidRPr="00385576">
        <w:rPr>
          <w:rFonts w:ascii="Times New Roman" w:hAnsi="Times New Roman" w:cs="Times New Roman"/>
        </w:rPr>
        <w:t>Source : Enquêtes PAPA, 2018</w:t>
      </w:r>
    </w:p>
    <w:p w:rsidR="00AB1D5F" w:rsidRPr="00385576" w:rsidRDefault="00AB1D5F" w:rsidP="00AB1D5F">
      <w:pPr>
        <w:pStyle w:val="RapportPAPA"/>
        <w:rPr>
          <w:sz w:val="22"/>
        </w:rPr>
      </w:pPr>
      <w:r w:rsidRPr="00385576">
        <w:rPr>
          <w:sz w:val="22"/>
        </w:rPr>
        <w:t>S’agissant du choix du marché ou du four</w:t>
      </w:r>
      <w:r w:rsidR="008D2E32">
        <w:rPr>
          <w:sz w:val="22"/>
        </w:rPr>
        <w:t xml:space="preserve">nisseur, l’analyse du tableau </w:t>
      </w:r>
      <w:r w:rsidRPr="00385576">
        <w:rPr>
          <w:sz w:val="22"/>
        </w:rPr>
        <w:t xml:space="preserve">13 montre que pour le mil, le critère de choix le plus important est la disponibilité du produit auprès du fournisseur. Il est d’ailleurs important pour tous les commerçants de mil et de sorgho. Le prix du produit est le second critère le plus important suivi du respect des engagements. </w:t>
      </w:r>
    </w:p>
    <w:p w:rsidR="00AB1D5F" w:rsidRPr="00385576" w:rsidRDefault="00AB1D5F" w:rsidP="00AB1D5F">
      <w:pPr>
        <w:spacing w:after="200" w:line="240" w:lineRule="auto"/>
        <w:rPr>
          <w:rFonts w:ascii="Times New Roman" w:hAnsi="Times New Roman" w:cs="Times New Roman"/>
          <w:iCs/>
          <w:szCs w:val="24"/>
        </w:rPr>
      </w:pPr>
      <w:bookmarkStart w:id="60" w:name="_Toc1484430"/>
      <w:bookmarkStart w:id="61" w:name="_Toc3549382"/>
      <w:bookmarkStart w:id="62" w:name="_Toc34828008"/>
      <w:r w:rsidRPr="00385576">
        <w:rPr>
          <w:rFonts w:ascii="Times New Roman" w:hAnsi="Times New Roman" w:cs="Times New Roman"/>
          <w:b/>
          <w:iCs/>
          <w:szCs w:val="24"/>
        </w:rPr>
        <w:lastRenderedPageBreak/>
        <w:t xml:space="preserve">Tableau </w:t>
      </w:r>
      <w:r w:rsidRPr="00385576">
        <w:rPr>
          <w:rFonts w:ascii="Times New Roman" w:hAnsi="Times New Roman" w:cs="Times New Roman"/>
          <w:b/>
          <w:iCs/>
          <w:szCs w:val="24"/>
        </w:rPr>
        <w:fldChar w:fldCharType="begin"/>
      </w:r>
      <w:r w:rsidRPr="00385576">
        <w:rPr>
          <w:rFonts w:ascii="Times New Roman" w:hAnsi="Times New Roman" w:cs="Times New Roman"/>
          <w:b/>
          <w:iCs/>
          <w:szCs w:val="24"/>
        </w:rPr>
        <w:instrText xml:space="preserve"> SEQ Tableau \* ARABIC \s 1 </w:instrText>
      </w:r>
      <w:r w:rsidRPr="00385576">
        <w:rPr>
          <w:rFonts w:ascii="Times New Roman" w:hAnsi="Times New Roman" w:cs="Times New Roman"/>
          <w:b/>
          <w:iCs/>
          <w:szCs w:val="24"/>
        </w:rPr>
        <w:fldChar w:fldCharType="separate"/>
      </w:r>
      <w:r w:rsidRPr="00385576">
        <w:rPr>
          <w:rFonts w:ascii="Times New Roman" w:hAnsi="Times New Roman" w:cs="Times New Roman"/>
          <w:b/>
          <w:iCs/>
          <w:noProof/>
          <w:szCs w:val="24"/>
        </w:rPr>
        <w:t>13</w:t>
      </w:r>
      <w:r w:rsidRPr="00385576">
        <w:rPr>
          <w:rFonts w:ascii="Times New Roman" w:hAnsi="Times New Roman" w:cs="Times New Roman"/>
          <w:b/>
          <w:iCs/>
          <w:szCs w:val="24"/>
        </w:rPr>
        <w:fldChar w:fldCharType="end"/>
      </w:r>
      <w:r w:rsidRPr="00385576">
        <w:rPr>
          <w:rFonts w:ascii="Times New Roman" w:hAnsi="Times New Roman" w:cs="Times New Roman"/>
          <w:b/>
          <w:iCs/>
          <w:szCs w:val="24"/>
        </w:rPr>
        <w:t> :</w:t>
      </w:r>
      <w:r w:rsidRPr="00385576">
        <w:rPr>
          <w:rFonts w:ascii="Times New Roman" w:hAnsi="Times New Roman" w:cs="Times New Roman"/>
          <w:iCs/>
          <w:szCs w:val="24"/>
        </w:rPr>
        <w:t xml:space="preserve"> </w:t>
      </w:r>
      <w:r w:rsidRPr="00385576">
        <w:rPr>
          <w:rFonts w:ascii="Times New Roman" w:eastAsia="Times New Roman" w:hAnsi="Times New Roman" w:cs="Times New Roman"/>
          <w:iCs/>
          <w:color w:val="000000"/>
          <w:szCs w:val="24"/>
          <w:lang w:eastAsia="fr-FR"/>
        </w:rPr>
        <w:t>Trois principaux attributs liés au fournisseur ou marché,  guidant le choix du produit</w:t>
      </w:r>
      <w:bookmarkEnd w:id="60"/>
      <w:bookmarkEnd w:id="61"/>
      <w:bookmarkEnd w:id="62"/>
      <w:r w:rsidRPr="00385576">
        <w:rPr>
          <w:rFonts w:ascii="Times New Roman" w:eastAsia="Times New Roman" w:hAnsi="Times New Roman" w:cs="Times New Roman"/>
          <w:iCs/>
          <w:color w:val="000000"/>
          <w:szCs w:val="24"/>
          <w:lang w:eastAsia="fr-FR"/>
        </w:rPr>
        <w:t xml:space="preserve"> </w:t>
      </w:r>
    </w:p>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539"/>
        <w:gridCol w:w="1276"/>
        <w:gridCol w:w="1417"/>
        <w:gridCol w:w="1418"/>
        <w:gridCol w:w="1417"/>
      </w:tblGrid>
      <w:tr w:rsidR="00AB1D5F" w:rsidRPr="00385576" w:rsidTr="00AB1D5F">
        <w:trPr>
          <w:trHeight w:val="426"/>
        </w:trPr>
        <w:tc>
          <w:tcPr>
            <w:tcW w:w="3539" w:type="dxa"/>
            <w:shd w:val="clear" w:color="auto" w:fill="auto"/>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
                <w:bCs/>
                <w:color w:val="000000"/>
                <w:sz w:val="20"/>
                <w:szCs w:val="20"/>
                <w:lang w:eastAsia="fr-FR"/>
              </w:rPr>
              <w:t>Attributs (N=87)</w:t>
            </w:r>
          </w:p>
        </w:tc>
        <w:tc>
          <w:tcPr>
            <w:tcW w:w="1276" w:type="dxa"/>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
                <w:bCs/>
                <w:color w:val="000000"/>
                <w:sz w:val="20"/>
                <w:szCs w:val="20"/>
                <w:lang w:eastAsia="fr-FR"/>
              </w:rPr>
              <w:t xml:space="preserve">Mil </w:t>
            </w:r>
            <w:proofErr w:type="gramStart"/>
            <w:r w:rsidRPr="00385576">
              <w:rPr>
                <w:rFonts w:ascii="Times New Roman" w:eastAsia="Times New Roman" w:hAnsi="Times New Roman" w:cs="Times New Roman"/>
                <w:b/>
                <w:bCs/>
                <w:color w:val="000000"/>
                <w:sz w:val="20"/>
                <w:szCs w:val="20"/>
                <w:lang w:eastAsia="fr-FR"/>
              </w:rPr>
              <w:t>grain</w:t>
            </w:r>
            <w:proofErr w:type="gramEnd"/>
            <w:r w:rsidRPr="00385576">
              <w:rPr>
                <w:rFonts w:ascii="Times New Roman" w:eastAsia="Times New Roman" w:hAnsi="Times New Roman" w:cs="Times New Roman"/>
                <w:b/>
                <w:bCs/>
                <w:color w:val="000000"/>
                <w:sz w:val="20"/>
                <w:szCs w:val="20"/>
                <w:lang w:eastAsia="fr-FR"/>
              </w:rPr>
              <w:t xml:space="preserve"> </w:t>
            </w:r>
          </w:p>
        </w:tc>
        <w:tc>
          <w:tcPr>
            <w:tcW w:w="1417" w:type="dxa"/>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
                <w:bCs/>
                <w:color w:val="000000"/>
                <w:sz w:val="20"/>
                <w:szCs w:val="20"/>
                <w:lang w:eastAsia="fr-FR"/>
              </w:rPr>
              <w:t>Sorgho grain</w:t>
            </w:r>
          </w:p>
        </w:tc>
        <w:tc>
          <w:tcPr>
            <w:tcW w:w="1418" w:type="dxa"/>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
                <w:bCs/>
                <w:color w:val="000000"/>
                <w:sz w:val="20"/>
                <w:szCs w:val="20"/>
                <w:lang w:eastAsia="fr-FR"/>
              </w:rPr>
              <w:t>Maïs grain</w:t>
            </w:r>
          </w:p>
        </w:tc>
        <w:tc>
          <w:tcPr>
            <w:tcW w:w="1417" w:type="dxa"/>
            <w:shd w:val="clear" w:color="auto" w:fill="auto"/>
            <w:noWrap/>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
                <w:bCs/>
                <w:color w:val="000000"/>
                <w:sz w:val="20"/>
                <w:szCs w:val="20"/>
                <w:lang w:eastAsia="fr-FR"/>
              </w:rPr>
              <w:t>Fonio grain</w:t>
            </w:r>
          </w:p>
        </w:tc>
      </w:tr>
      <w:tr w:rsidR="00AB1D5F" w:rsidRPr="00385576" w:rsidTr="00AB1D5F">
        <w:trPr>
          <w:trHeight w:val="270"/>
        </w:trPr>
        <w:tc>
          <w:tcPr>
            <w:tcW w:w="3539" w:type="dxa"/>
            <w:shd w:val="clear" w:color="auto" w:fill="auto"/>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Disponibilité produit auprès du fournisseur</w:t>
            </w:r>
          </w:p>
        </w:tc>
        <w:tc>
          <w:tcPr>
            <w:tcW w:w="1276"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100%</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100%</w:t>
            </w:r>
          </w:p>
        </w:tc>
        <w:tc>
          <w:tcPr>
            <w:tcW w:w="1418"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96%</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67%</w:t>
            </w:r>
          </w:p>
        </w:tc>
      </w:tr>
      <w:tr w:rsidR="00AB1D5F" w:rsidRPr="00385576" w:rsidTr="00AB1D5F">
        <w:trPr>
          <w:trHeight w:val="240"/>
        </w:trPr>
        <w:tc>
          <w:tcPr>
            <w:tcW w:w="3539" w:type="dxa"/>
            <w:shd w:val="clear" w:color="auto" w:fill="auto"/>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 xml:space="preserve">Prix du produit </w:t>
            </w:r>
          </w:p>
        </w:tc>
        <w:tc>
          <w:tcPr>
            <w:tcW w:w="1276"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84%</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83%</w:t>
            </w:r>
          </w:p>
        </w:tc>
        <w:tc>
          <w:tcPr>
            <w:tcW w:w="1418"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79%</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67%</w:t>
            </w:r>
          </w:p>
        </w:tc>
      </w:tr>
      <w:tr w:rsidR="00AB1D5F" w:rsidRPr="00385576" w:rsidTr="00AB1D5F">
        <w:trPr>
          <w:trHeight w:val="237"/>
        </w:trPr>
        <w:tc>
          <w:tcPr>
            <w:tcW w:w="3539" w:type="dxa"/>
            <w:shd w:val="clear" w:color="auto" w:fill="auto"/>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Fournisseur  produit ayant une autorisation FRA</w:t>
            </w:r>
          </w:p>
        </w:tc>
        <w:tc>
          <w:tcPr>
            <w:tcW w:w="1276"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0%</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4%</w:t>
            </w:r>
          </w:p>
        </w:tc>
        <w:tc>
          <w:tcPr>
            <w:tcW w:w="1418"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0%</w:t>
            </w:r>
          </w:p>
        </w:tc>
      </w:tr>
      <w:tr w:rsidR="00AB1D5F" w:rsidRPr="00385576" w:rsidTr="00AB1D5F">
        <w:trPr>
          <w:trHeight w:val="151"/>
        </w:trPr>
        <w:tc>
          <w:tcPr>
            <w:tcW w:w="3539" w:type="dxa"/>
            <w:shd w:val="clear" w:color="auto" w:fill="auto"/>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Fournisseur respecte ces engagements</w:t>
            </w:r>
          </w:p>
        </w:tc>
        <w:tc>
          <w:tcPr>
            <w:tcW w:w="1276"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60%</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43%</w:t>
            </w:r>
          </w:p>
        </w:tc>
        <w:tc>
          <w:tcPr>
            <w:tcW w:w="1418"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54%</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100%</w:t>
            </w:r>
          </w:p>
        </w:tc>
      </w:tr>
      <w:tr w:rsidR="00AB1D5F" w:rsidRPr="00385576" w:rsidTr="00AB1D5F">
        <w:trPr>
          <w:trHeight w:val="233"/>
        </w:trPr>
        <w:tc>
          <w:tcPr>
            <w:tcW w:w="3539" w:type="dxa"/>
            <w:shd w:val="clear" w:color="auto" w:fill="auto"/>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Proximité du lieu d'établissement  du fournisseur</w:t>
            </w:r>
          </w:p>
        </w:tc>
        <w:tc>
          <w:tcPr>
            <w:tcW w:w="1276"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24%</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26%</w:t>
            </w:r>
          </w:p>
        </w:tc>
        <w:tc>
          <w:tcPr>
            <w:tcW w:w="1418"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29%</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67%</w:t>
            </w:r>
          </w:p>
        </w:tc>
      </w:tr>
      <w:tr w:rsidR="00AB1D5F" w:rsidRPr="00385576" w:rsidTr="00AB1D5F">
        <w:trPr>
          <w:trHeight w:val="329"/>
        </w:trPr>
        <w:tc>
          <w:tcPr>
            <w:tcW w:w="3539" w:type="dxa"/>
            <w:shd w:val="clear" w:color="auto" w:fill="auto"/>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Hygiène du lieu d'établissement du fournisseur</w:t>
            </w:r>
          </w:p>
        </w:tc>
        <w:tc>
          <w:tcPr>
            <w:tcW w:w="1276"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33%</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30%</w:t>
            </w:r>
          </w:p>
        </w:tc>
        <w:tc>
          <w:tcPr>
            <w:tcW w:w="1418"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21%</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0%</w:t>
            </w:r>
          </w:p>
        </w:tc>
      </w:tr>
      <w:tr w:rsidR="00AB1D5F" w:rsidRPr="00385576" w:rsidTr="00AB1D5F">
        <w:trPr>
          <w:trHeight w:val="183"/>
        </w:trPr>
        <w:tc>
          <w:tcPr>
            <w:tcW w:w="3539" w:type="dxa"/>
            <w:shd w:val="clear" w:color="auto" w:fill="auto"/>
            <w:hideMark/>
          </w:tcPr>
          <w:p w:rsidR="00AB1D5F" w:rsidRPr="00385576" w:rsidRDefault="00AB1D5F" w:rsidP="00AB1D5F">
            <w:pPr>
              <w:spacing w:after="0" w:line="240" w:lineRule="auto"/>
              <w:rPr>
                <w:rFonts w:ascii="Times New Roman" w:eastAsia="Times New Roman" w:hAnsi="Times New Roman" w:cs="Times New Roman"/>
                <w:b/>
                <w:bCs/>
                <w:color w:val="000000"/>
                <w:sz w:val="20"/>
                <w:szCs w:val="20"/>
                <w:lang w:eastAsia="fr-FR"/>
              </w:rPr>
            </w:pPr>
            <w:r w:rsidRPr="00385576">
              <w:rPr>
                <w:rFonts w:ascii="Times New Roman" w:eastAsia="Times New Roman" w:hAnsi="Times New Roman" w:cs="Times New Roman"/>
                <w:bCs/>
                <w:color w:val="000000"/>
                <w:sz w:val="20"/>
                <w:szCs w:val="20"/>
                <w:lang w:eastAsia="fr-FR"/>
              </w:rPr>
              <w:t>Fournisseur vend à crédit</w:t>
            </w:r>
          </w:p>
        </w:tc>
        <w:tc>
          <w:tcPr>
            <w:tcW w:w="1276"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22%</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13%</w:t>
            </w:r>
          </w:p>
        </w:tc>
        <w:tc>
          <w:tcPr>
            <w:tcW w:w="1418"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19%</w:t>
            </w:r>
          </w:p>
        </w:tc>
        <w:tc>
          <w:tcPr>
            <w:tcW w:w="1417" w:type="dxa"/>
            <w:shd w:val="clear" w:color="auto" w:fill="auto"/>
            <w:noWrap/>
            <w:hideMark/>
          </w:tcPr>
          <w:p w:rsidR="00AB1D5F" w:rsidRPr="00385576"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385576">
              <w:rPr>
                <w:rFonts w:ascii="Times New Roman" w:eastAsia="Times New Roman" w:hAnsi="Times New Roman" w:cs="Times New Roman"/>
                <w:color w:val="000000"/>
                <w:sz w:val="20"/>
                <w:szCs w:val="20"/>
                <w:lang w:eastAsia="fr-FR"/>
              </w:rPr>
              <w:t>0%</w:t>
            </w:r>
          </w:p>
        </w:tc>
      </w:tr>
    </w:tbl>
    <w:p w:rsidR="00AB1D5F" w:rsidRPr="00385576" w:rsidRDefault="00AB1D5F" w:rsidP="00AB1D5F">
      <w:pPr>
        <w:spacing w:line="360" w:lineRule="auto"/>
        <w:jc w:val="both"/>
        <w:rPr>
          <w:rFonts w:ascii="Times New Roman" w:hAnsi="Times New Roman" w:cs="Times New Roman"/>
        </w:rPr>
      </w:pPr>
      <w:r w:rsidRPr="00385576">
        <w:rPr>
          <w:rFonts w:ascii="Times New Roman" w:hAnsi="Times New Roman" w:cs="Times New Roman"/>
        </w:rPr>
        <w:t>Source : Enquêtes PAPA, 2018</w:t>
      </w:r>
    </w:p>
    <w:p w:rsidR="00AB1D5F" w:rsidRPr="00B423E0" w:rsidRDefault="009B6AC1" w:rsidP="00AB1D5F">
      <w:pPr>
        <w:pStyle w:val="RapportPAPA"/>
      </w:pPr>
      <w:r w:rsidRPr="00B423E0">
        <w:rPr>
          <w:noProof/>
          <w:lang w:eastAsia="fr-FR"/>
        </w:rPr>
        <w:drawing>
          <wp:anchor distT="6096" distB="4572" distL="120396" distR="120396" simplePos="0" relativeHeight="251661312" behindDoc="0" locked="0" layoutInCell="1" allowOverlap="1" wp14:anchorId="24C6A6DE" wp14:editId="73FC48E5">
            <wp:simplePos x="0" y="0"/>
            <wp:positionH relativeFrom="margin">
              <wp:posOffset>-15240</wp:posOffset>
            </wp:positionH>
            <wp:positionV relativeFrom="paragraph">
              <wp:posOffset>1916354</wp:posOffset>
            </wp:positionV>
            <wp:extent cx="5707380" cy="2674620"/>
            <wp:effectExtent l="0" t="0" r="7620" b="11430"/>
            <wp:wrapThrough wrapText="bothSides">
              <wp:wrapPolygon edited="0">
                <wp:start x="0" y="0"/>
                <wp:lineTo x="0" y="21538"/>
                <wp:lineTo x="21557" y="21538"/>
                <wp:lineTo x="21557" y="0"/>
                <wp:lineTo x="0" y="0"/>
              </wp:wrapPolygon>
            </wp:wrapThrough>
            <wp:docPr id="8"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AB1D5F" w:rsidRPr="00385576">
        <w:rPr>
          <w:sz w:val="22"/>
        </w:rPr>
        <w:t xml:space="preserve">Les moyens de financement de l'investissement proviennent majoritairement d’une activité non agricole réalisée au Sénégal (80 </w:t>
      </w:r>
      <w:r w:rsidR="008D2E32">
        <w:rPr>
          <w:sz w:val="22"/>
        </w:rPr>
        <w:t>%). Comme le montre la figure 6</w:t>
      </w:r>
      <w:r w:rsidR="00AB1D5F" w:rsidRPr="00385576">
        <w:rPr>
          <w:sz w:val="22"/>
        </w:rPr>
        <w:t xml:space="preserve"> les activités agricoles réalisées au Sénégal représentent, quant à elles, 11 % du financement de l’investissement. </w:t>
      </w:r>
      <w:r w:rsidR="00AB1D5F" w:rsidRPr="009B6AC1">
        <w:rPr>
          <w:sz w:val="22"/>
        </w:rPr>
        <w:t>Ensuite, les prêts et dons de la famille financent 10 % de l’investissement. Enfin, les prêts bancaires et les revenus provenant de la migration, permettent de financer respectivement 8 % et 7 % de l’investissement. Cependant, les prêts du gouvernement, grossistes, détaillants, associations de transformateurs, ONG, SFD, ne participent pas à ces investissements.</w:t>
      </w:r>
    </w:p>
    <w:p w:rsidR="00AB1D5F" w:rsidRPr="009B6AC1" w:rsidRDefault="00AB1D5F" w:rsidP="00AB1D5F">
      <w:pPr>
        <w:spacing w:after="0" w:line="240" w:lineRule="auto"/>
        <w:jc w:val="both"/>
        <w:rPr>
          <w:rFonts w:ascii="Times New Roman" w:hAnsi="Times New Roman" w:cs="Times New Roman"/>
        </w:rPr>
      </w:pPr>
      <w:bookmarkStart w:id="63" w:name="_Toc1417018"/>
      <w:bookmarkStart w:id="64" w:name="_Toc1484538"/>
      <w:bookmarkStart w:id="65" w:name="_Toc3549255"/>
      <w:bookmarkStart w:id="66" w:name="_Toc34828020"/>
      <w:r w:rsidRPr="009B6AC1">
        <w:rPr>
          <w:rFonts w:ascii="Times New Roman" w:hAnsi="Times New Roman" w:cs="Times New Roman"/>
          <w:b/>
        </w:rPr>
        <w:t xml:space="preserve">Figure </w:t>
      </w:r>
      <w:r w:rsidRPr="009B6AC1">
        <w:rPr>
          <w:rFonts w:ascii="Times New Roman" w:hAnsi="Times New Roman" w:cs="Times New Roman"/>
          <w:b/>
        </w:rPr>
        <w:fldChar w:fldCharType="begin"/>
      </w:r>
      <w:r w:rsidRPr="009B6AC1">
        <w:rPr>
          <w:rFonts w:ascii="Times New Roman" w:hAnsi="Times New Roman" w:cs="Times New Roman"/>
          <w:b/>
        </w:rPr>
        <w:instrText xml:space="preserve"> SEQ Figure \* ARABIC \s 1 </w:instrText>
      </w:r>
      <w:r w:rsidRPr="009B6AC1">
        <w:rPr>
          <w:rFonts w:ascii="Times New Roman" w:hAnsi="Times New Roman" w:cs="Times New Roman"/>
          <w:b/>
        </w:rPr>
        <w:fldChar w:fldCharType="separate"/>
      </w:r>
      <w:r w:rsidRPr="009B6AC1">
        <w:rPr>
          <w:rFonts w:ascii="Times New Roman" w:hAnsi="Times New Roman" w:cs="Times New Roman"/>
          <w:b/>
          <w:noProof/>
        </w:rPr>
        <w:t>6</w:t>
      </w:r>
      <w:r w:rsidRPr="009B6AC1">
        <w:rPr>
          <w:rFonts w:ascii="Times New Roman" w:hAnsi="Times New Roman" w:cs="Times New Roman"/>
          <w:b/>
        </w:rPr>
        <w:fldChar w:fldCharType="end"/>
      </w:r>
      <w:r w:rsidRPr="009B6AC1">
        <w:rPr>
          <w:rFonts w:ascii="Times New Roman" w:hAnsi="Times New Roman" w:cs="Times New Roman"/>
        </w:rPr>
        <w:t> : Source de financement des entreprises de commercialisation en gros de céréales</w:t>
      </w:r>
      <w:bookmarkEnd w:id="63"/>
      <w:bookmarkEnd w:id="64"/>
      <w:bookmarkEnd w:id="65"/>
      <w:bookmarkEnd w:id="66"/>
    </w:p>
    <w:p w:rsidR="00AB1D5F" w:rsidRPr="009B6AC1" w:rsidRDefault="00AB1D5F" w:rsidP="00AB1D5F">
      <w:pPr>
        <w:spacing w:after="0" w:line="240" w:lineRule="auto"/>
        <w:jc w:val="both"/>
        <w:rPr>
          <w:rFonts w:ascii="Times New Roman" w:hAnsi="Times New Roman" w:cs="Times New Roman"/>
        </w:rPr>
      </w:pPr>
      <w:r w:rsidRPr="009B6AC1">
        <w:rPr>
          <w:rFonts w:ascii="Times New Roman" w:hAnsi="Times New Roman" w:cs="Times New Roman"/>
        </w:rPr>
        <w:t>Source : Enquêtes PAPA, 2018</w:t>
      </w:r>
    </w:p>
    <w:p w:rsidR="00AB1D5F" w:rsidRPr="009B6AC1" w:rsidRDefault="00AB1D5F" w:rsidP="00AB1D5F">
      <w:pPr>
        <w:pStyle w:val="RapportPAPA"/>
        <w:rPr>
          <w:sz w:val="22"/>
          <w:szCs w:val="22"/>
        </w:rPr>
      </w:pPr>
      <w:r w:rsidRPr="009B6AC1">
        <w:rPr>
          <w:sz w:val="22"/>
          <w:szCs w:val="22"/>
        </w:rPr>
        <w:t xml:space="preserve">En moyenne les contrats signés par les grossistes durent 17 mois.  L'analyse des types de contrats permet de noter une faible contractualisation chez les grossistes (figure 1.8). En effet, seulement 9,2% de ceux-ci sont en relation contractuelle durant les quatre dernières années. Ces contrats sont majoritairement liés à une garantie d'achat par les commerçants soit 62,5% suivi de contrats de garantie d'achat par les transformateurs avec 37,5%. Autrement dit, les grossistes sont plus en relation contractuelle avec les </w:t>
      </w:r>
      <w:r w:rsidRPr="009B6AC1">
        <w:rPr>
          <w:sz w:val="22"/>
          <w:szCs w:val="22"/>
        </w:rPr>
        <w:lastRenderedPageBreak/>
        <w:t xml:space="preserve">commerçants et transformateurs qu'avec les autres acteurs. Il n’existe pas chez les grossistes des contrats de garantie d'achat avec les exportateurs ni des contrats de livraison de céréales grains par des producteurs. Cela s’explique par le fait que les céréales sèches ne sont en général pas exportées et que ce sont les grossistes qui se déplacent vers les producteurs pour s’approvisionner et non les producteurs qui font, le plus souvent des ventes bords champs ou dans des marchés hebdomadaires. </w:t>
      </w:r>
    </w:p>
    <w:p w:rsidR="00AB1D5F" w:rsidRPr="00B423E0" w:rsidRDefault="00AB1D5F" w:rsidP="00AB1D5F">
      <w:pPr>
        <w:spacing w:line="360" w:lineRule="auto"/>
        <w:jc w:val="both"/>
        <w:rPr>
          <w:rFonts w:ascii="Times New Roman" w:hAnsi="Times New Roman" w:cs="Times New Roman"/>
        </w:rPr>
      </w:pPr>
      <w:r w:rsidRPr="00B423E0">
        <w:rPr>
          <w:rFonts w:ascii="Times New Roman" w:hAnsi="Times New Roman" w:cs="Times New Roman"/>
          <w:noProof/>
          <w:lang w:eastAsia="fr-FR"/>
        </w:rPr>
        <w:drawing>
          <wp:inline distT="0" distB="0" distL="0" distR="0" wp14:anchorId="30856683" wp14:editId="08BA8A08">
            <wp:extent cx="6004560" cy="3375660"/>
            <wp:effectExtent l="0" t="0" r="15240" b="15240"/>
            <wp:docPr id="10" name="Graphiqu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1D5F" w:rsidRPr="009B6AC1" w:rsidRDefault="00AB1D5F" w:rsidP="00AB1D5F">
      <w:pPr>
        <w:spacing w:after="0" w:line="240" w:lineRule="auto"/>
        <w:jc w:val="both"/>
        <w:rPr>
          <w:rFonts w:ascii="Times New Roman" w:hAnsi="Times New Roman" w:cs="Times New Roman"/>
          <w:iCs/>
        </w:rPr>
      </w:pPr>
      <w:bookmarkStart w:id="67" w:name="_Toc1417019"/>
      <w:bookmarkStart w:id="68" w:name="_Toc1484539"/>
      <w:bookmarkStart w:id="69" w:name="_Toc3549256"/>
      <w:bookmarkStart w:id="70" w:name="_Toc34828021"/>
      <w:r w:rsidRPr="009B6AC1">
        <w:rPr>
          <w:rFonts w:ascii="Times New Roman" w:hAnsi="Times New Roman" w:cs="Times New Roman"/>
          <w:b/>
          <w:iCs/>
        </w:rPr>
        <w:t xml:space="preserve">Figure </w:t>
      </w:r>
      <w:r w:rsidRPr="009B6AC1">
        <w:rPr>
          <w:rFonts w:ascii="Times New Roman" w:hAnsi="Times New Roman" w:cs="Times New Roman"/>
          <w:b/>
          <w:iCs/>
        </w:rPr>
        <w:fldChar w:fldCharType="begin"/>
      </w:r>
      <w:r w:rsidRPr="009B6AC1">
        <w:rPr>
          <w:rFonts w:ascii="Times New Roman" w:hAnsi="Times New Roman" w:cs="Times New Roman"/>
          <w:b/>
          <w:iCs/>
        </w:rPr>
        <w:instrText xml:space="preserve"> SEQ Figure \* ARABIC \s 1 </w:instrText>
      </w:r>
      <w:r w:rsidRPr="009B6AC1">
        <w:rPr>
          <w:rFonts w:ascii="Times New Roman" w:hAnsi="Times New Roman" w:cs="Times New Roman"/>
          <w:b/>
          <w:iCs/>
        </w:rPr>
        <w:fldChar w:fldCharType="separate"/>
      </w:r>
      <w:r w:rsidRPr="009B6AC1">
        <w:rPr>
          <w:rFonts w:ascii="Times New Roman" w:hAnsi="Times New Roman" w:cs="Times New Roman"/>
          <w:b/>
          <w:iCs/>
          <w:noProof/>
        </w:rPr>
        <w:t>7</w:t>
      </w:r>
      <w:r w:rsidRPr="009B6AC1">
        <w:rPr>
          <w:rFonts w:ascii="Times New Roman" w:hAnsi="Times New Roman" w:cs="Times New Roman"/>
          <w:b/>
          <w:iCs/>
        </w:rPr>
        <w:fldChar w:fldCharType="end"/>
      </w:r>
      <w:r w:rsidRPr="009B6AC1">
        <w:rPr>
          <w:rFonts w:ascii="Times New Roman" w:hAnsi="Times New Roman" w:cs="Times New Roman"/>
          <w:b/>
          <w:iCs/>
        </w:rPr>
        <w:t xml:space="preserve"> :</w:t>
      </w:r>
      <w:r w:rsidRPr="009B6AC1">
        <w:rPr>
          <w:rFonts w:ascii="Times New Roman" w:hAnsi="Times New Roman" w:cs="Times New Roman"/>
          <w:iCs/>
        </w:rPr>
        <w:t xml:space="preserve"> Les types de contrats signés par les grossistes</w:t>
      </w:r>
      <w:bookmarkEnd w:id="67"/>
      <w:bookmarkEnd w:id="68"/>
      <w:bookmarkEnd w:id="69"/>
      <w:bookmarkEnd w:id="70"/>
    </w:p>
    <w:p w:rsidR="00AB1D5F" w:rsidRPr="009B6AC1" w:rsidRDefault="00AB1D5F" w:rsidP="00AB1D5F">
      <w:pPr>
        <w:spacing w:after="0"/>
        <w:rPr>
          <w:rFonts w:ascii="Times New Roman" w:hAnsi="Times New Roman" w:cs="Times New Roman"/>
          <w:b/>
        </w:rPr>
      </w:pPr>
      <w:r w:rsidRPr="009B6AC1">
        <w:rPr>
          <w:rFonts w:ascii="Times New Roman" w:hAnsi="Times New Roman" w:cs="Times New Roman"/>
        </w:rPr>
        <w:t>Source : Enquête PAPA, 2018</w:t>
      </w:r>
    </w:p>
    <w:p w:rsidR="00AB1D5F" w:rsidRPr="009B6AC1" w:rsidRDefault="00AB1D5F" w:rsidP="00AB1D5F">
      <w:pPr>
        <w:spacing w:before="120" w:after="120" w:line="360" w:lineRule="auto"/>
        <w:jc w:val="both"/>
        <w:rPr>
          <w:rFonts w:ascii="Times New Roman" w:hAnsi="Times New Roman" w:cs="Times New Roman"/>
        </w:rPr>
      </w:pPr>
      <w:r w:rsidRPr="009B6AC1">
        <w:rPr>
          <w:rFonts w:ascii="Times New Roman" w:hAnsi="Times New Roman" w:cs="Times New Roman"/>
        </w:rPr>
        <w:t>La première exigence des grossistes dans une relation contractuelle est la livraison d’un produit sans impuretés. A l’unanimité (100%), les grossistes adhèrent à cette exigence fondamentale. Ils ont aussi d’autres exigences qui figurent en pole position dans les contrats qu’ils signent avec les autres acteurs. Il s’agit de l’exigence d’un produit bien calibré (69,23 %), de l’exigence d’un produit bien conditionné (46,15 %) et de l’exigence d’une quantité minimale (38,46%). Les autres exigences sont de moindre importance et peuvent, vu leur représentativité, être tolérées si le contractuel venait à ne pas les respecter. C’est le cas de l’exigence d’un produit séché (7,69 %) et l’exigence d’un produit certifié (7,69 %).</w:t>
      </w:r>
    </w:p>
    <w:p w:rsidR="00AB1D5F" w:rsidRPr="009B6AC1" w:rsidRDefault="00AB1D5F" w:rsidP="00AB1D5F">
      <w:pPr>
        <w:pStyle w:val="RapportPAPA0"/>
        <w:rPr>
          <w:sz w:val="22"/>
          <w:szCs w:val="22"/>
        </w:rPr>
      </w:pPr>
      <w:r w:rsidRPr="009B6AC1">
        <w:rPr>
          <w:sz w:val="22"/>
          <w:szCs w:val="22"/>
        </w:rPr>
        <w:t>L’analyse de la figure</w:t>
      </w:r>
      <w:r w:rsidR="00974058">
        <w:rPr>
          <w:sz w:val="22"/>
          <w:szCs w:val="22"/>
        </w:rPr>
        <w:t> 8</w:t>
      </w:r>
      <w:r w:rsidRPr="009B6AC1">
        <w:rPr>
          <w:sz w:val="22"/>
          <w:szCs w:val="22"/>
        </w:rPr>
        <w:t xml:space="preserve"> montre que les grossistes, à 75% soutiennent que la contractualisation a pour intérêts majeurs la stabilisation des prix et l’augmentation des revenus. D’autres parts, certains d’entre eux (38%), estiment qu’une mise en relation contractuelle permettrait de disposer d’un meilleur pouvoir de négociation, ainsi qu’une baisse des invendus pour 13%  des grossistes. Enfin, 25% des grossistes pensent qu’une contractualisation faciliterait l’accès au crédit. </w:t>
      </w:r>
    </w:p>
    <w:p w:rsidR="00AB1D5F" w:rsidRPr="00B423E0" w:rsidRDefault="00AB1D5F" w:rsidP="00AB1D5F">
      <w:pPr>
        <w:spacing w:after="0" w:line="240" w:lineRule="auto"/>
        <w:jc w:val="both"/>
        <w:rPr>
          <w:rFonts w:ascii="Times New Roman" w:hAnsi="Times New Roman" w:cs="Times New Roman"/>
          <w:b/>
        </w:rPr>
      </w:pPr>
    </w:p>
    <w:p w:rsidR="00AB1D5F" w:rsidRPr="00B423E0" w:rsidRDefault="00AB1D5F" w:rsidP="00AB1D5F">
      <w:pPr>
        <w:spacing w:after="0" w:line="240" w:lineRule="auto"/>
        <w:jc w:val="both"/>
        <w:rPr>
          <w:rFonts w:ascii="Times New Roman" w:hAnsi="Times New Roman" w:cs="Times New Roman"/>
          <w:b/>
          <w:iCs/>
          <w:szCs w:val="18"/>
        </w:rPr>
      </w:pPr>
      <w:bookmarkStart w:id="71" w:name="_Toc1417020"/>
      <w:bookmarkStart w:id="72" w:name="_Toc1484540"/>
      <w:r w:rsidRPr="00B423E0">
        <w:rPr>
          <w:rFonts w:ascii="Times New Roman" w:hAnsi="Times New Roman" w:cs="Times New Roman"/>
          <w:noProof/>
          <w:lang w:eastAsia="fr-FR"/>
        </w:rPr>
        <w:lastRenderedPageBreak/>
        <w:drawing>
          <wp:inline distT="0" distB="0" distL="0" distR="0" wp14:anchorId="774E1198" wp14:editId="0905F95F">
            <wp:extent cx="5760720" cy="2956560"/>
            <wp:effectExtent l="0" t="0" r="11430" b="1524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1D5F" w:rsidRPr="00B423E0" w:rsidRDefault="00AB1D5F" w:rsidP="00AB1D5F">
      <w:pPr>
        <w:spacing w:after="0" w:line="240" w:lineRule="auto"/>
        <w:jc w:val="both"/>
        <w:rPr>
          <w:rFonts w:ascii="Times New Roman" w:hAnsi="Times New Roman" w:cs="Times New Roman"/>
          <w:iCs/>
          <w:szCs w:val="18"/>
        </w:rPr>
      </w:pPr>
      <w:bookmarkStart w:id="73" w:name="_Toc3549257"/>
      <w:bookmarkStart w:id="74" w:name="_Toc34828022"/>
      <w:r w:rsidRPr="00B423E0">
        <w:rPr>
          <w:rFonts w:ascii="Times New Roman" w:hAnsi="Times New Roman" w:cs="Times New Roman"/>
          <w:b/>
          <w:iCs/>
          <w:szCs w:val="18"/>
        </w:rPr>
        <w:t xml:space="preserve">Figure </w:t>
      </w:r>
      <w:r w:rsidRPr="00B423E0">
        <w:rPr>
          <w:rFonts w:ascii="Times New Roman" w:hAnsi="Times New Roman" w:cs="Times New Roman"/>
          <w:b/>
          <w:iCs/>
          <w:szCs w:val="18"/>
        </w:rPr>
        <w:fldChar w:fldCharType="begin"/>
      </w:r>
      <w:r w:rsidRPr="00B423E0">
        <w:rPr>
          <w:rFonts w:ascii="Times New Roman" w:hAnsi="Times New Roman" w:cs="Times New Roman"/>
          <w:b/>
          <w:iCs/>
          <w:szCs w:val="18"/>
        </w:rPr>
        <w:instrText xml:space="preserve"> SEQ Figure \* ARABIC \s 1 </w:instrText>
      </w:r>
      <w:r w:rsidRPr="00B423E0">
        <w:rPr>
          <w:rFonts w:ascii="Times New Roman" w:hAnsi="Times New Roman" w:cs="Times New Roman"/>
          <w:b/>
          <w:iCs/>
          <w:szCs w:val="18"/>
        </w:rPr>
        <w:fldChar w:fldCharType="separate"/>
      </w:r>
      <w:r w:rsidRPr="00B423E0">
        <w:rPr>
          <w:rFonts w:ascii="Times New Roman" w:hAnsi="Times New Roman" w:cs="Times New Roman"/>
          <w:b/>
          <w:iCs/>
          <w:noProof/>
          <w:szCs w:val="18"/>
        </w:rPr>
        <w:t>8</w:t>
      </w:r>
      <w:r w:rsidRPr="00B423E0">
        <w:rPr>
          <w:rFonts w:ascii="Times New Roman" w:hAnsi="Times New Roman" w:cs="Times New Roman"/>
          <w:b/>
          <w:iCs/>
          <w:szCs w:val="18"/>
        </w:rPr>
        <w:fldChar w:fldCharType="end"/>
      </w:r>
      <w:r w:rsidRPr="00B423E0">
        <w:rPr>
          <w:rFonts w:ascii="Times New Roman" w:hAnsi="Times New Roman" w:cs="Times New Roman"/>
          <w:iCs/>
          <w:szCs w:val="18"/>
        </w:rPr>
        <w:t xml:space="preserve"> : les résultats de la contractualisation</w:t>
      </w:r>
      <w:bookmarkEnd w:id="71"/>
      <w:bookmarkEnd w:id="72"/>
      <w:bookmarkEnd w:id="73"/>
      <w:bookmarkEnd w:id="74"/>
      <w:r w:rsidRPr="00B423E0">
        <w:rPr>
          <w:rFonts w:ascii="Times New Roman" w:hAnsi="Times New Roman" w:cs="Times New Roman"/>
          <w:iCs/>
          <w:szCs w:val="18"/>
        </w:rPr>
        <w:t xml:space="preserve"> </w:t>
      </w:r>
    </w:p>
    <w:p w:rsidR="00AB1D5F" w:rsidRPr="00B423E0" w:rsidRDefault="00AB1D5F" w:rsidP="00AB1D5F">
      <w:pPr>
        <w:spacing w:after="240" w:line="240" w:lineRule="auto"/>
        <w:jc w:val="both"/>
        <w:rPr>
          <w:rFonts w:ascii="Times New Roman" w:hAnsi="Times New Roman" w:cs="Times New Roman"/>
        </w:rPr>
      </w:pPr>
      <w:r w:rsidRPr="00B423E0">
        <w:rPr>
          <w:rFonts w:ascii="Times New Roman" w:hAnsi="Times New Roman" w:cs="Times New Roman"/>
        </w:rPr>
        <w:t>Source : Enquêtes PAPA, 2018</w:t>
      </w:r>
    </w:p>
    <w:p w:rsidR="00AB1D5F" w:rsidRDefault="00AB1D5F" w:rsidP="00AB1D5F">
      <w:pPr>
        <w:spacing w:before="120" w:after="120" w:line="360" w:lineRule="auto"/>
        <w:jc w:val="both"/>
        <w:rPr>
          <w:rFonts w:ascii="Times New Roman" w:eastAsia="Calibri" w:hAnsi="Times New Roman" w:cs="Times New Roman"/>
          <w:szCs w:val="24"/>
        </w:rPr>
      </w:pPr>
      <w:r w:rsidRPr="009B6AC1">
        <w:rPr>
          <w:rFonts w:ascii="Times New Roman" w:eastAsia="Calibri" w:hAnsi="Times New Roman" w:cs="Times New Roman"/>
          <w:szCs w:val="24"/>
        </w:rPr>
        <w:t>Au démarrage de leur activité de commerce de céréales, près de la moitié des grossistes n’emploie pas de main d’œuvre. Cependant en 2017, 86,2% des grossistes emploient de la main d’œuvre permanente et/ou temporaire. Parmi ceux-ci, nous remarquons une préférence à l’emploi de mains d’œuvres permanentes soit au niveau de 90,7 % de ces grossistes. Cette main d’œuvre permanente représente 262 employés sur un effectif total de 360 pour 100 grossistes. La main d’œuvre féminine est peu représentative et elle tend a diminué. En moyenne, elle était au nombre de 30 pour 100 entreprises au démarrage, en 2017, elle s’élève à 24 pour 100 entreprises, dont 4 emp</w:t>
      </w:r>
      <w:r w:rsidR="00974058">
        <w:rPr>
          <w:rFonts w:ascii="Times New Roman" w:eastAsia="Calibri" w:hAnsi="Times New Roman" w:cs="Times New Roman"/>
          <w:szCs w:val="24"/>
        </w:rPr>
        <w:t>loyés temporaires. Le tableau </w:t>
      </w:r>
      <w:r w:rsidRPr="009B6AC1">
        <w:rPr>
          <w:rFonts w:ascii="Times New Roman" w:eastAsia="Calibri" w:hAnsi="Times New Roman" w:cs="Times New Roman"/>
          <w:szCs w:val="24"/>
        </w:rPr>
        <w:t xml:space="preserve">14 présente la répartition de la main d’œuvre par catégorie. </w:t>
      </w:r>
    </w:p>
    <w:p w:rsidR="009B6AC1" w:rsidRDefault="009B6AC1" w:rsidP="00AB1D5F">
      <w:pPr>
        <w:spacing w:before="120" w:after="120" w:line="360" w:lineRule="auto"/>
        <w:jc w:val="both"/>
        <w:rPr>
          <w:rFonts w:ascii="Times New Roman" w:eastAsia="Calibri" w:hAnsi="Times New Roman" w:cs="Times New Roman"/>
          <w:szCs w:val="24"/>
        </w:rPr>
      </w:pPr>
    </w:p>
    <w:p w:rsidR="009B6AC1" w:rsidRDefault="009B6AC1" w:rsidP="00AB1D5F">
      <w:pPr>
        <w:spacing w:before="120" w:after="120" w:line="360" w:lineRule="auto"/>
        <w:jc w:val="both"/>
        <w:rPr>
          <w:rFonts w:ascii="Times New Roman" w:eastAsia="Calibri" w:hAnsi="Times New Roman" w:cs="Times New Roman"/>
          <w:szCs w:val="24"/>
        </w:rPr>
      </w:pPr>
    </w:p>
    <w:p w:rsidR="009B6AC1" w:rsidRDefault="009B6AC1" w:rsidP="00AB1D5F">
      <w:pPr>
        <w:spacing w:before="120" w:after="120" w:line="360" w:lineRule="auto"/>
        <w:jc w:val="both"/>
        <w:rPr>
          <w:rFonts w:ascii="Times New Roman" w:eastAsia="Calibri" w:hAnsi="Times New Roman" w:cs="Times New Roman"/>
          <w:szCs w:val="24"/>
        </w:rPr>
      </w:pPr>
    </w:p>
    <w:p w:rsidR="009B6AC1" w:rsidRDefault="009B6AC1" w:rsidP="00AB1D5F">
      <w:pPr>
        <w:spacing w:before="120" w:after="120" w:line="360" w:lineRule="auto"/>
        <w:jc w:val="both"/>
        <w:rPr>
          <w:rFonts w:ascii="Times New Roman" w:eastAsia="Calibri" w:hAnsi="Times New Roman" w:cs="Times New Roman"/>
          <w:szCs w:val="24"/>
        </w:rPr>
      </w:pPr>
    </w:p>
    <w:p w:rsidR="009B6AC1" w:rsidRDefault="009B6AC1" w:rsidP="00AB1D5F">
      <w:pPr>
        <w:spacing w:before="120" w:after="120" w:line="360" w:lineRule="auto"/>
        <w:jc w:val="both"/>
        <w:rPr>
          <w:rFonts w:ascii="Times New Roman" w:eastAsia="Calibri" w:hAnsi="Times New Roman" w:cs="Times New Roman"/>
          <w:szCs w:val="24"/>
        </w:rPr>
      </w:pPr>
    </w:p>
    <w:p w:rsidR="009B6AC1" w:rsidRDefault="009B6AC1" w:rsidP="00AB1D5F">
      <w:pPr>
        <w:spacing w:before="120" w:after="120" w:line="360" w:lineRule="auto"/>
        <w:jc w:val="both"/>
        <w:rPr>
          <w:rFonts w:ascii="Times New Roman" w:eastAsia="Calibri" w:hAnsi="Times New Roman" w:cs="Times New Roman"/>
          <w:szCs w:val="24"/>
        </w:rPr>
      </w:pPr>
    </w:p>
    <w:p w:rsidR="009B6AC1" w:rsidRDefault="009B6AC1" w:rsidP="00AB1D5F">
      <w:pPr>
        <w:spacing w:before="120" w:after="120" w:line="360" w:lineRule="auto"/>
        <w:jc w:val="both"/>
        <w:rPr>
          <w:rFonts w:ascii="Times New Roman" w:eastAsia="Calibri" w:hAnsi="Times New Roman" w:cs="Times New Roman"/>
          <w:szCs w:val="24"/>
        </w:rPr>
      </w:pPr>
    </w:p>
    <w:p w:rsidR="009B6AC1" w:rsidRDefault="009B6AC1" w:rsidP="00AB1D5F">
      <w:pPr>
        <w:spacing w:before="120" w:after="120" w:line="360" w:lineRule="auto"/>
        <w:jc w:val="both"/>
        <w:rPr>
          <w:rFonts w:ascii="Times New Roman" w:eastAsia="Calibri" w:hAnsi="Times New Roman" w:cs="Times New Roman"/>
          <w:szCs w:val="24"/>
        </w:rPr>
      </w:pPr>
    </w:p>
    <w:p w:rsidR="009B6AC1" w:rsidRDefault="009B6AC1" w:rsidP="00AB1D5F">
      <w:pPr>
        <w:spacing w:before="120" w:after="120" w:line="360" w:lineRule="auto"/>
        <w:jc w:val="both"/>
        <w:rPr>
          <w:rFonts w:ascii="Times New Roman" w:eastAsia="Calibri" w:hAnsi="Times New Roman" w:cs="Times New Roman"/>
          <w:szCs w:val="24"/>
        </w:rPr>
      </w:pPr>
    </w:p>
    <w:p w:rsidR="009B6AC1" w:rsidRDefault="009B6AC1" w:rsidP="00AB1D5F">
      <w:pPr>
        <w:spacing w:before="120" w:after="120" w:line="360" w:lineRule="auto"/>
        <w:jc w:val="both"/>
        <w:rPr>
          <w:rFonts w:ascii="Times New Roman" w:eastAsia="Calibri" w:hAnsi="Times New Roman" w:cs="Times New Roman"/>
          <w:szCs w:val="24"/>
        </w:rPr>
      </w:pPr>
    </w:p>
    <w:p w:rsidR="009B6AC1" w:rsidRPr="009B6AC1" w:rsidRDefault="009B6AC1" w:rsidP="00AB1D5F">
      <w:pPr>
        <w:spacing w:before="120" w:after="120" w:line="360" w:lineRule="auto"/>
        <w:jc w:val="both"/>
        <w:rPr>
          <w:rFonts w:ascii="Times New Roman" w:eastAsia="Calibri" w:hAnsi="Times New Roman" w:cs="Times New Roman"/>
          <w:szCs w:val="24"/>
        </w:rPr>
      </w:pPr>
    </w:p>
    <w:p w:rsidR="00AB1D5F" w:rsidRPr="009B6AC1" w:rsidRDefault="00AB1D5F" w:rsidP="00AB1D5F">
      <w:pPr>
        <w:spacing w:after="200" w:line="240" w:lineRule="auto"/>
        <w:rPr>
          <w:rFonts w:ascii="Times New Roman" w:eastAsia="Calibri" w:hAnsi="Times New Roman" w:cs="Times New Roman"/>
          <w:iCs/>
          <w:szCs w:val="24"/>
        </w:rPr>
      </w:pPr>
      <w:bookmarkStart w:id="75" w:name="_Toc1484431"/>
      <w:bookmarkStart w:id="76" w:name="_Toc34828009"/>
      <w:r w:rsidRPr="009B6AC1">
        <w:rPr>
          <w:rFonts w:ascii="Times New Roman" w:eastAsia="Calibri" w:hAnsi="Times New Roman" w:cs="Times New Roman"/>
          <w:b/>
          <w:iCs/>
          <w:szCs w:val="24"/>
        </w:rPr>
        <w:lastRenderedPageBreak/>
        <w:t xml:space="preserve">Tableau </w:t>
      </w:r>
      <w:r w:rsidRPr="009B6AC1">
        <w:rPr>
          <w:rFonts w:ascii="Times New Roman" w:eastAsia="Calibri" w:hAnsi="Times New Roman" w:cs="Times New Roman"/>
          <w:b/>
          <w:iCs/>
          <w:szCs w:val="24"/>
        </w:rPr>
        <w:fldChar w:fldCharType="begin"/>
      </w:r>
      <w:r w:rsidRPr="009B6AC1">
        <w:rPr>
          <w:rFonts w:ascii="Times New Roman" w:eastAsia="Calibri" w:hAnsi="Times New Roman" w:cs="Times New Roman"/>
          <w:b/>
          <w:iCs/>
          <w:szCs w:val="24"/>
        </w:rPr>
        <w:instrText xml:space="preserve"> SEQ Tableau \* ARABIC \s 1 </w:instrText>
      </w:r>
      <w:r w:rsidRPr="009B6AC1">
        <w:rPr>
          <w:rFonts w:ascii="Times New Roman" w:eastAsia="Calibri" w:hAnsi="Times New Roman" w:cs="Times New Roman"/>
          <w:b/>
          <w:iCs/>
          <w:szCs w:val="24"/>
        </w:rPr>
        <w:fldChar w:fldCharType="separate"/>
      </w:r>
      <w:r w:rsidRPr="009B6AC1">
        <w:rPr>
          <w:rFonts w:ascii="Times New Roman" w:eastAsia="Calibri" w:hAnsi="Times New Roman" w:cs="Times New Roman"/>
          <w:b/>
          <w:iCs/>
          <w:noProof/>
          <w:szCs w:val="24"/>
        </w:rPr>
        <w:t>14</w:t>
      </w:r>
      <w:r w:rsidRPr="009B6AC1">
        <w:rPr>
          <w:rFonts w:ascii="Times New Roman" w:eastAsia="Calibri" w:hAnsi="Times New Roman" w:cs="Times New Roman"/>
          <w:b/>
          <w:iCs/>
          <w:szCs w:val="24"/>
        </w:rPr>
        <w:fldChar w:fldCharType="end"/>
      </w:r>
      <w:r w:rsidRPr="009B6AC1">
        <w:rPr>
          <w:rFonts w:ascii="Times New Roman" w:eastAsia="Calibri" w:hAnsi="Times New Roman" w:cs="Times New Roman"/>
          <w:b/>
          <w:iCs/>
          <w:szCs w:val="24"/>
        </w:rPr>
        <w:t> :</w:t>
      </w:r>
      <w:r w:rsidRPr="009B6AC1">
        <w:rPr>
          <w:rFonts w:ascii="Times New Roman" w:eastAsia="Calibri" w:hAnsi="Times New Roman" w:cs="Times New Roman"/>
          <w:iCs/>
          <w:szCs w:val="24"/>
        </w:rPr>
        <w:t xml:space="preserve"> Main d’œuvre employée</w:t>
      </w:r>
      <w:bookmarkEnd w:id="75"/>
      <w:bookmarkEnd w:id="76"/>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54"/>
        <w:gridCol w:w="2093"/>
        <w:gridCol w:w="2015"/>
      </w:tblGrid>
      <w:tr w:rsidR="00AB1D5F" w:rsidRPr="009B6AC1" w:rsidTr="00AB1D5F">
        <w:trPr>
          <w:trHeight w:val="321"/>
        </w:trPr>
        <w:tc>
          <w:tcPr>
            <w:tcW w:w="2733"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N=87</w:t>
            </w:r>
          </w:p>
        </w:tc>
        <w:tc>
          <w:tcPr>
            <w:tcW w:w="1155"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 xml:space="preserve">Année de démarrage </w:t>
            </w:r>
          </w:p>
        </w:tc>
        <w:tc>
          <w:tcPr>
            <w:tcW w:w="1112"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2018</w:t>
            </w:r>
          </w:p>
        </w:tc>
      </w:tr>
      <w:tr w:rsidR="00AB1D5F" w:rsidRPr="009B6AC1" w:rsidTr="00AB1D5F">
        <w:trPr>
          <w:trHeight w:val="301"/>
        </w:trPr>
        <w:tc>
          <w:tcPr>
            <w:tcW w:w="2733"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Part des acteurs employant de la main d'œuvre (%)</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56,3</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86,2</w:t>
            </w:r>
          </w:p>
        </w:tc>
      </w:tr>
      <w:tr w:rsidR="00AB1D5F" w:rsidRPr="009B6AC1" w:rsidTr="00AB1D5F">
        <w:trPr>
          <w:trHeight w:val="43"/>
        </w:trPr>
        <w:tc>
          <w:tcPr>
            <w:tcW w:w="2733"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Part des acteurs employant de la main d'œuvre permanente, parmi ceux qui ont des employés (%)</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81,6</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90,7</w:t>
            </w:r>
          </w:p>
        </w:tc>
      </w:tr>
      <w:tr w:rsidR="00AB1D5F" w:rsidRPr="009B6AC1" w:rsidTr="00AB1D5F">
        <w:trPr>
          <w:trHeight w:val="165"/>
        </w:trPr>
        <w:tc>
          <w:tcPr>
            <w:tcW w:w="2733"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Part des acteurs employant de la main d'œuvre temporaire, parmi ceux qui ont des employés (%)</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26,5</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44,9</w:t>
            </w:r>
          </w:p>
        </w:tc>
      </w:tr>
      <w:tr w:rsidR="00AB1D5F" w:rsidRPr="009B6AC1" w:rsidTr="00AB1D5F">
        <w:trPr>
          <w:trHeight w:val="43"/>
        </w:trPr>
        <w:tc>
          <w:tcPr>
            <w:tcW w:w="2733"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Nombre moyen d'employés pour 100 entreprises (nombre total d'employés sur le nombre total d'entreprises fois 100)</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181</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354</w:t>
            </w:r>
          </w:p>
        </w:tc>
      </w:tr>
      <w:tr w:rsidR="00AB1D5F" w:rsidRPr="009B6AC1" w:rsidTr="00AB1D5F">
        <w:trPr>
          <w:trHeight w:val="43"/>
        </w:trPr>
        <w:tc>
          <w:tcPr>
            <w:tcW w:w="2733" w:type="pct"/>
            <w:shd w:val="clear" w:color="auto" w:fill="auto"/>
            <w:hideMark/>
          </w:tcPr>
          <w:p w:rsidR="00AB1D5F" w:rsidRPr="009B6AC1" w:rsidRDefault="00AB1D5F" w:rsidP="00AB1D5F">
            <w:pPr>
              <w:spacing w:after="0" w:line="240" w:lineRule="auto"/>
              <w:ind w:firstLineChars="200" w:firstLine="4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Hommes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150</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330</w:t>
            </w:r>
          </w:p>
        </w:tc>
      </w:tr>
      <w:tr w:rsidR="00AB1D5F" w:rsidRPr="009B6AC1" w:rsidTr="00AB1D5F">
        <w:trPr>
          <w:trHeight w:val="160"/>
        </w:trPr>
        <w:tc>
          <w:tcPr>
            <w:tcW w:w="2733" w:type="pct"/>
            <w:shd w:val="clear" w:color="auto" w:fill="auto"/>
            <w:hideMark/>
          </w:tcPr>
          <w:p w:rsidR="00AB1D5F" w:rsidRPr="009B6AC1" w:rsidRDefault="00AB1D5F" w:rsidP="00AB1D5F">
            <w:pPr>
              <w:spacing w:after="0" w:line="240" w:lineRule="auto"/>
              <w:ind w:firstLineChars="200" w:firstLine="4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Femmes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30</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24</w:t>
            </w:r>
          </w:p>
        </w:tc>
      </w:tr>
      <w:tr w:rsidR="00AB1D5F" w:rsidRPr="009B6AC1" w:rsidTr="00AB1D5F">
        <w:trPr>
          <w:trHeight w:val="93"/>
        </w:trPr>
        <w:tc>
          <w:tcPr>
            <w:tcW w:w="5000" w:type="pct"/>
            <w:gridSpan w:val="3"/>
            <w:shd w:val="clear" w:color="auto" w:fill="auto"/>
            <w:hideMark/>
          </w:tcPr>
          <w:p w:rsidR="00AB1D5F" w:rsidRPr="009B6AC1" w:rsidRDefault="00AB1D5F" w:rsidP="00AB1D5F">
            <w:pPr>
              <w:spacing w:after="0" w:line="240" w:lineRule="auto"/>
              <w:jc w:val="center"/>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Employés permanents</w:t>
            </w:r>
          </w:p>
        </w:tc>
      </w:tr>
      <w:tr w:rsidR="00AB1D5F" w:rsidRPr="009B6AC1" w:rsidTr="00AB1D5F">
        <w:trPr>
          <w:trHeight w:val="43"/>
        </w:trPr>
        <w:tc>
          <w:tcPr>
            <w:tcW w:w="2733"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 xml:space="preserve">Nombre moyen total pour 100 entreprises </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Cs/>
                <w:color w:val="000000"/>
                <w:sz w:val="20"/>
                <w:szCs w:val="20"/>
                <w:lang w:eastAsia="fr-FR"/>
              </w:rPr>
            </w:pPr>
            <w:r w:rsidRPr="009B6AC1">
              <w:rPr>
                <w:rFonts w:ascii="Times New Roman" w:eastAsia="Times New Roman" w:hAnsi="Times New Roman" w:cs="Times New Roman"/>
                <w:bCs/>
                <w:color w:val="000000"/>
                <w:sz w:val="20"/>
                <w:szCs w:val="20"/>
                <w:lang w:eastAsia="fr-FR"/>
              </w:rPr>
              <w:t>151</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Cs/>
                <w:color w:val="000000"/>
                <w:sz w:val="20"/>
                <w:szCs w:val="20"/>
                <w:lang w:eastAsia="fr-FR"/>
              </w:rPr>
            </w:pPr>
            <w:r w:rsidRPr="009B6AC1">
              <w:rPr>
                <w:rFonts w:ascii="Times New Roman" w:eastAsia="Times New Roman" w:hAnsi="Times New Roman" w:cs="Times New Roman"/>
                <w:bCs/>
                <w:color w:val="000000"/>
                <w:sz w:val="20"/>
                <w:szCs w:val="20"/>
                <w:lang w:eastAsia="fr-FR"/>
              </w:rPr>
              <w:t>262</w:t>
            </w:r>
          </w:p>
        </w:tc>
      </w:tr>
      <w:tr w:rsidR="00AB1D5F" w:rsidRPr="009B6AC1" w:rsidTr="00AB1D5F">
        <w:trPr>
          <w:trHeight w:val="160"/>
        </w:trPr>
        <w:tc>
          <w:tcPr>
            <w:tcW w:w="2733" w:type="pct"/>
            <w:shd w:val="clear" w:color="auto" w:fill="auto"/>
            <w:hideMark/>
          </w:tcPr>
          <w:p w:rsidR="00AB1D5F" w:rsidRPr="009B6AC1" w:rsidRDefault="00AB1D5F" w:rsidP="00AB1D5F">
            <w:pPr>
              <w:spacing w:after="0" w:line="240" w:lineRule="auto"/>
              <w:ind w:firstLineChars="100" w:firstLine="2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Hommes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102</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243</w:t>
            </w:r>
          </w:p>
        </w:tc>
      </w:tr>
      <w:tr w:rsidR="00AB1D5F" w:rsidRPr="009B6AC1" w:rsidTr="00AB1D5F">
        <w:trPr>
          <w:trHeight w:val="160"/>
        </w:trPr>
        <w:tc>
          <w:tcPr>
            <w:tcW w:w="2733" w:type="pct"/>
            <w:shd w:val="clear" w:color="auto" w:fill="auto"/>
            <w:hideMark/>
          </w:tcPr>
          <w:p w:rsidR="00AB1D5F" w:rsidRPr="009B6AC1" w:rsidRDefault="00AB1D5F" w:rsidP="00AB1D5F">
            <w:pPr>
              <w:spacing w:after="0" w:line="240" w:lineRule="auto"/>
              <w:ind w:firstLineChars="100" w:firstLine="2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Femmes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49</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20</w:t>
            </w:r>
          </w:p>
        </w:tc>
      </w:tr>
      <w:tr w:rsidR="00AB1D5F" w:rsidRPr="009B6AC1" w:rsidTr="00AB1D5F">
        <w:trPr>
          <w:trHeight w:val="191"/>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i/>
                <w:iCs/>
                <w:color w:val="000000"/>
                <w:sz w:val="20"/>
                <w:szCs w:val="20"/>
                <w:lang w:eastAsia="fr-FR"/>
              </w:rPr>
            </w:pPr>
            <w:r w:rsidRPr="009B6AC1">
              <w:rPr>
                <w:rFonts w:ascii="Times New Roman" w:eastAsia="Times New Roman" w:hAnsi="Times New Roman" w:cs="Times New Roman"/>
                <w:bCs/>
                <w:i/>
                <w:iCs/>
                <w:color w:val="000000"/>
                <w:sz w:val="20"/>
                <w:szCs w:val="20"/>
                <w:lang w:eastAsia="fr-FR"/>
              </w:rPr>
              <w:t>Nombre moyen MO familiale</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57</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10</w:t>
            </w:r>
          </w:p>
        </w:tc>
      </w:tr>
      <w:tr w:rsidR="00AB1D5F" w:rsidRPr="009B6AC1" w:rsidTr="00AB1D5F">
        <w:trPr>
          <w:trHeight w:val="146"/>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Hommes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52</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95</w:t>
            </w:r>
          </w:p>
        </w:tc>
      </w:tr>
      <w:tr w:rsidR="00AB1D5F" w:rsidRPr="009B6AC1" w:rsidTr="00AB1D5F">
        <w:trPr>
          <w:trHeight w:val="66"/>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Femmes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5</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6</w:t>
            </w:r>
          </w:p>
        </w:tc>
      </w:tr>
      <w:tr w:rsidR="00AB1D5F" w:rsidRPr="009B6AC1" w:rsidTr="00AB1D5F">
        <w:trPr>
          <w:trHeight w:val="103"/>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i/>
                <w:iCs/>
                <w:color w:val="000000"/>
                <w:sz w:val="20"/>
                <w:szCs w:val="20"/>
                <w:lang w:eastAsia="fr-FR"/>
              </w:rPr>
            </w:pPr>
            <w:r w:rsidRPr="009B6AC1">
              <w:rPr>
                <w:rFonts w:ascii="Times New Roman" w:eastAsia="Times New Roman" w:hAnsi="Times New Roman" w:cs="Times New Roman"/>
                <w:bCs/>
                <w:i/>
                <w:iCs/>
                <w:color w:val="000000"/>
                <w:sz w:val="20"/>
                <w:szCs w:val="20"/>
                <w:lang w:eastAsia="fr-FR"/>
              </w:rPr>
              <w:t>Nombre moyen MO salariée</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93</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161</w:t>
            </w:r>
          </w:p>
        </w:tc>
      </w:tr>
      <w:tr w:rsidR="00AB1D5F" w:rsidRPr="009B6AC1" w:rsidTr="00AB1D5F">
        <w:trPr>
          <w:trHeight w:val="43"/>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Hommes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49</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147</w:t>
            </w:r>
          </w:p>
        </w:tc>
      </w:tr>
      <w:tr w:rsidR="00AB1D5F" w:rsidRPr="009B6AC1" w:rsidTr="00AB1D5F">
        <w:trPr>
          <w:trHeight w:val="43"/>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Femmes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44</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14</w:t>
            </w:r>
          </w:p>
        </w:tc>
      </w:tr>
      <w:tr w:rsidR="00AB1D5F" w:rsidRPr="009B6AC1" w:rsidTr="00AB1D5F">
        <w:trPr>
          <w:trHeight w:val="194"/>
        </w:trPr>
        <w:tc>
          <w:tcPr>
            <w:tcW w:w="5000" w:type="pct"/>
            <w:gridSpan w:val="3"/>
            <w:shd w:val="clear" w:color="auto" w:fill="auto"/>
            <w:hideMark/>
          </w:tcPr>
          <w:p w:rsidR="00AB1D5F" w:rsidRPr="009B6AC1" w:rsidRDefault="00AB1D5F" w:rsidP="00AB1D5F">
            <w:pPr>
              <w:spacing w:after="0" w:line="240" w:lineRule="auto"/>
              <w:jc w:val="center"/>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Employés temporaires</w:t>
            </w:r>
          </w:p>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 </w:t>
            </w:r>
          </w:p>
        </w:tc>
      </w:tr>
      <w:tr w:rsidR="00AB1D5F" w:rsidRPr="009B6AC1" w:rsidTr="00AB1D5F">
        <w:trPr>
          <w:trHeight w:val="174"/>
        </w:trPr>
        <w:tc>
          <w:tcPr>
            <w:tcW w:w="2733"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Nombre moyen total</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Cs/>
                <w:color w:val="000000"/>
                <w:sz w:val="20"/>
                <w:szCs w:val="20"/>
                <w:lang w:eastAsia="fr-FR"/>
              </w:rPr>
            </w:pPr>
            <w:r w:rsidRPr="009B6AC1">
              <w:rPr>
                <w:rFonts w:ascii="Times New Roman" w:eastAsia="Times New Roman" w:hAnsi="Times New Roman" w:cs="Times New Roman"/>
                <w:bCs/>
                <w:color w:val="000000"/>
                <w:sz w:val="20"/>
                <w:szCs w:val="20"/>
                <w:lang w:eastAsia="fr-FR"/>
              </w:rPr>
              <w:t>35</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Cs/>
                <w:color w:val="000000"/>
                <w:sz w:val="20"/>
                <w:szCs w:val="20"/>
                <w:lang w:eastAsia="fr-FR"/>
              </w:rPr>
            </w:pPr>
            <w:r w:rsidRPr="009B6AC1">
              <w:rPr>
                <w:rFonts w:ascii="Times New Roman" w:eastAsia="Times New Roman" w:hAnsi="Times New Roman" w:cs="Times New Roman"/>
                <w:bCs/>
                <w:color w:val="000000"/>
                <w:sz w:val="20"/>
                <w:szCs w:val="20"/>
                <w:lang w:eastAsia="fr-FR"/>
              </w:rPr>
              <w:t>95</w:t>
            </w:r>
          </w:p>
        </w:tc>
      </w:tr>
      <w:tr w:rsidR="00AB1D5F" w:rsidRPr="009B6AC1" w:rsidTr="00AB1D5F">
        <w:trPr>
          <w:trHeight w:val="160"/>
        </w:trPr>
        <w:tc>
          <w:tcPr>
            <w:tcW w:w="2733" w:type="pct"/>
            <w:shd w:val="clear" w:color="auto" w:fill="auto"/>
            <w:hideMark/>
          </w:tcPr>
          <w:p w:rsidR="00AB1D5F" w:rsidRPr="009B6AC1" w:rsidRDefault="00AB1D5F" w:rsidP="00AB1D5F">
            <w:pPr>
              <w:spacing w:after="0" w:line="240" w:lineRule="auto"/>
              <w:ind w:firstLineChars="100" w:firstLine="2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Hommes</w:t>
            </w:r>
          </w:p>
        </w:tc>
        <w:tc>
          <w:tcPr>
            <w:tcW w:w="1155" w:type="pct"/>
            <w:shd w:val="clear" w:color="auto" w:fill="auto"/>
            <w:noWrap/>
            <w:hideMark/>
          </w:tcPr>
          <w:p w:rsidR="00AB1D5F" w:rsidRPr="009B6AC1" w:rsidRDefault="00AB1D5F" w:rsidP="00AB1D5F">
            <w:pPr>
              <w:tabs>
                <w:tab w:val="left" w:pos="651"/>
              </w:tabs>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35</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92</w:t>
            </w:r>
          </w:p>
        </w:tc>
      </w:tr>
      <w:tr w:rsidR="00AB1D5F" w:rsidRPr="009B6AC1" w:rsidTr="00AB1D5F">
        <w:trPr>
          <w:trHeight w:val="160"/>
        </w:trPr>
        <w:tc>
          <w:tcPr>
            <w:tcW w:w="2733" w:type="pct"/>
            <w:shd w:val="clear" w:color="auto" w:fill="auto"/>
            <w:hideMark/>
          </w:tcPr>
          <w:p w:rsidR="00AB1D5F" w:rsidRPr="009B6AC1" w:rsidRDefault="00AB1D5F" w:rsidP="00AB1D5F">
            <w:pPr>
              <w:spacing w:after="0" w:line="240" w:lineRule="auto"/>
              <w:ind w:firstLineChars="100" w:firstLine="2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Femmes</w:t>
            </w:r>
          </w:p>
        </w:tc>
        <w:tc>
          <w:tcPr>
            <w:tcW w:w="1155" w:type="pct"/>
            <w:shd w:val="clear" w:color="auto" w:fill="auto"/>
            <w:noWrap/>
            <w:hideMark/>
          </w:tcPr>
          <w:p w:rsidR="00AB1D5F" w:rsidRPr="009B6AC1" w:rsidRDefault="00AB1D5F" w:rsidP="00AB1D5F">
            <w:pPr>
              <w:tabs>
                <w:tab w:val="center" w:pos="955"/>
              </w:tabs>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0</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4</w:t>
            </w:r>
          </w:p>
        </w:tc>
      </w:tr>
      <w:tr w:rsidR="00AB1D5F" w:rsidRPr="009B6AC1" w:rsidTr="00AB1D5F">
        <w:trPr>
          <w:trHeight w:val="162"/>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i/>
                <w:iCs/>
                <w:color w:val="000000"/>
                <w:sz w:val="20"/>
                <w:szCs w:val="20"/>
                <w:lang w:eastAsia="fr-FR"/>
              </w:rPr>
            </w:pPr>
            <w:r w:rsidRPr="009B6AC1">
              <w:rPr>
                <w:rFonts w:ascii="Times New Roman" w:eastAsia="Times New Roman" w:hAnsi="Times New Roman" w:cs="Times New Roman"/>
                <w:bCs/>
                <w:i/>
                <w:iCs/>
                <w:color w:val="000000"/>
                <w:sz w:val="20"/>
                <w:szCs w:val="20"/>
                <w:lang w:eastAsia="fr-FR"/>
              </w:rPr>
              <w:t>Nombre moyen MO familiale</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Cs/>
                <w:i/>
                <w:iCs/>
                <w:color w:val="000000"/>
                <w:sz w:val="20"/>
                <w:szCs w:val="20"/>
                <w:lang w:eastAsia="fr-FR"/>
              </w:rPr>
            </w:pPr>
            <w:r w:rsidRPr="009B6AC1">
              <w:rPr>
                <w:rFonts w:ascii="Times New Roman" w:eastAsia="Times New Roman" w:hAnsi="Times New Roman" w:cs="Times New Roman"/>
                <w:bCs/>
                <w:i/>
                <w:iCs/>
                <w:color w:val="000000"/>
                <w:sz w:val="20"/>
                <w:szCs w:val="20"/>
                <w:lang w:eastAsia="fr-FR"/>
              </w:rPr>
              <w:t>10</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Cs/>
                <w:i/>
                <w:iCs/>
                <w:color w:val="000000"/>
                <w:sz w:val="20"/>
                <w:szCs w:val="20"/>
                <w:lang w:eastAsia="fr-FR"/>
              </w:rPr>
            </w:pPr>
            <w:r w:rsidRPr="009B6AC1">
              <w:rPr>
                <w:rFonts w:ascii="Times New Roman" w:eastAsia="Times New Roman" w:hAnsi="Times New Roman" w:cs="Times New Roman"/>
                <w:bCs/>
                <w:i/>
                <w:iCs/>
                <w:color w:val="000000"/>
                <w:sz w:val="20"/>
                <w:szCs w:val="20"/>
                <w:lang w:eastAsia="fr-FR"/>
              </w:rPr>
              <w:t>10</w:t>
            </w:r>
          </w:p>
        </w:tc>
      </w:tr>
      <w:tr w:rsidR="00AB1D5F" w:rsidRPr="009B6AC1" w:rsidTr="00AB1D5F">
        <w:trPr>
          <w:trHeight w:val="188"/>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Hommes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10</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10</w:t>
            </w:r>
          </w:p>
        </w:tc>
      </w:tr>
      <w:tr w:rsidR="00AB1D5F" w:rsidRPr="009B6AC1" w:rsidTr="00AB1D5F">
        <w:trPr>
          <w:trHeight w:val="87"/>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Femmes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0,00</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0,00</w:t>
            </w:r>
          </w:p>
        </w:tc>
      </w:tr>
      <w:tr w:rsidR="00AB1D5F" w:rsidRPr="009B6AC1" w:rsidTr="00AB1D5F">
        <w:trPr>
          <w:trHeight w:val="224"/>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i/>
                <w:iCs/>
                <w:color w:val="000000"/>
                <w:sz w:val="20"/>
                <w:szCs w:val="20"/>
                <w:lang w:eastAsia="fr-FR"/>
              </w:rPr>
            </w:pPr>
            <w:r w:rsidRPr="009B6AC1">
              <w:rPr>
                <w:rFonts w:ascii="Times New Roman" w:eastAsia="Times New Roman" w:hAnsi="Times New Roman" w:cs="Times New Roman"/>
                <w:bCs/>
                <w:i/>
                <w:iCs/>
                <w:color w:val="000000"/>
                <w:sz w:val="20"/>
                <w:szCs w:val="20"/>
                <w:lang w:eastAsia="fr-FR"/>
              </w:rPr>
              <w:t>Nombre moyen MO salariée</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Cs/>
                <w:i/>
                <w:iCs/>
                <w:color w:val="000000"/>
                <w:sz w:val="20"/>
                <w:szCs w:val="20"/>
                <w:lang w:eastAsia="fr-FR"/>
              </w:rPr>
            </w:pPr>
            <w:r w:rsidRPr="009B6AC1">
              <w:rPr>
                <w:rFonts w:ascii="Times New Roman" w:eastAsia="Times New Roman" w:hAnsi="Times New Roman" w:cs="Times New Roman"/>
                <w:bCs/>
                <w:i/>
                <w:iCs/>
                <w:color w:val="000000"/>
                <w:sz w:val="20"/>
                <w:szCs w:val="20"/>
                <w:lang w:eastAsia="fr-FR"/>
              </w:rPr>
              <w:t>24</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Cs/>
                <w:i/>
                <w:iCs/>
                <w:color w:val="000000"/>
                <w:sz w:val="20"/>
                <w:szCs w:val="20"/>
                <w:lang w:eastAsia="fr-FR"/>
              </w:rPr>
            </w:pPr>
            <w:r w:rsidRPr="009B6AC1">
              <w:rPr>
                <w:rFonts w:ascii="Times New Roman" w:eastAsia="Times New Roman" w:hAnsi="Times New Roman" w:cs="Times New Roman"/>
                <w:bCs/>
                <w:i/>
                <w:iCs/>
                <w:color w:val="000000"/>
                <w:sz w:val="20"/>
                <w:szCs w:val="20"/>
                <w:lang w:eastAsia="fr-FR"/>
              </w:rPr>
              <w:t>85</w:t>
            </w:r>
          </w:p>
        </w:tc>
      </w:tr>
      <w:tr w:rsidR="00AB1D5F" w:rsidRPr="009B6AC1" w:rsidTr="00AB1D5F">
        <w:trPr>
          <w:trHeight w:val="207"/>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Hommes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24</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82</w:t>
            </w:r>
          </w:p>
        </w:tc>
      </w:tr>
      <w:tr w:rsidR="00AB1D5F" w:rsidRPr="009B6AC1" w:rsidTr="00AB1D5F">
        <w:trPr>
          <w:trHeight w:val="321"/>
        </w:trPr>
        <w:tc>
          <w:tcPr>
            <w:tcW w:w="2733" w:type="pct"/>
            <w:shd w:val="clear" w:color="auto" w:fill="auto"/>
            <w:hideMark/>
          </w:tcPr>
          <w:p w:rsidR="00AB1D5F" w:rsidRPr="009B6AC1" w:rsidRDefault="00AB1D5F" w:rsidP="00AB1D5F">
            <w:pPr>
              <w:spacing w:after="0" w:line="240" w:lineRule="auto"/>
              <w:ind w:firstLineChars="300" w:firstLine="600"/>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Femmes</w:t>
            </w:r>
          </w:p>
        </w:tc>
        <w:tc>
          <w:tcPr>
            <w:tcW w:w="115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0,00</w:t>
            </w:r>
          </w:p>
        </w:tc>
        <w:tc>
          <w:tcPr>
            <w:tcW w:w="1112"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4</w:t>
            </w:r>
          </w:p>
        </w:tc>
      </w:tr>
    </w:tbl>
    <w:p w:rsidR="00AB1D5F" w:rsidRPr="00B423E0" w:rsidRDefault="00AB1D5F" w:rsidP="00AB1D5F">
      <w:pPr>
        <w:rPr>
          <w:rFonts w:ascii="Times New Roman" w:eastAsia="Calibri" w:hAnsi="Times New Roman" w:cs="Times New Roman"/>
          <w:b/>
          <w:sz w:val="28"/>
          <w:szCs w:val="28"/>
        </w:rPr>
      </w:pPr>
      <w:r w:rsidRPr="00B423E0">
        <w:rPr>
          <w:rFonts w:ascii="Times New Roman" w:eastAsia="Calibri" w:hAnsi="Times New Roman" w:cs="Times New Roman"/>
        </w:rPr>
        <w:t>Source : Enquête PAPA, 2018</w:t>
      </w:r>
    </w:p>
    <w:p w:rsidR="00AB1D5F" w:rsidRPr="00B423E0" w:rsidRDefault="00AB1D5F">
      <w:pPr>
        <w:rPr>
          <w:rFonts w:ascii="Times New Roman" w:eastAsiaTheme="majorEastAsia" w:hAnsi="Times New Roman" w:cs="Times New Roman"/>
          <w:color w:val="44546A" w:themeColor="text2"/>
          <w:sz w:val="32"/>
          <w:szCs w:val="32"/>
        </w:rPr>
      </w:pPr>
      <w:r w:rsidRPr="00B423E0">
        <w:rPr>
          <w:rFonts w:ascii="Times New Roman" w:hAnsi="Times New Roman" w:cs="Times New Roman"/>
        </w:rPr>
        <w:br w:type="page"/>
      </w:r>
    </w:p>
    <w:p w:rsidR="00AB1D5F" w:rsidRPr="00B423E0" w:rsidRDefault="00AB1D5F" w:rsidP="00C811CC">
      <w:pPr>
        <w:pStyle w:val="Titre1"/>
        <w:numPr>
          <w:ilvl w:val="0"/>
          <w:numId w:val="12"/>
        </w:numPr>
        <w:rPr>
          <w:rFonts w:cs="Times New Roman"/>
        </w:rPr>
      </w:pPr>
      <w:bookmarkStart w:id="77" w:name="_Toc34730694"/>
      <w:r w:rsidRPr="00B423E0">
        <w:rPr>
          <w:rFonts w:cs="Times New Roman"/>
        </w:rPr>
        <w:lastRenderedPageBreak/>
        <w:t>Performance du commerce gros</w:t>
      </w:r>
      <w:bookmarkEnd w:id="77"/>
    </w:p>
    <w:p w:rsidR="00AB1D5F" w:rsidRPr="009B6AC1" w:rsidRDefault="00AB1D5F" w:rsidP="00AB1D5F">
      <w:pPr>
        <w:pStyle w:val="RapportPAPA0"/>
        <w:rPr>
          <w:sz w:val="22"/>
        </w:rPr>
      </w:pPr>
      <w:r w:rsidRPr="009B6AC1">
        <w:rPr>
          <w:sz w:val="22"/>
        </w:rPr>
        <w:t>Les coûts de fonctionnement des entreprises de commercialisation des céréales sont répartis entre la main-d’œuvre et les autres charges fixes et/ou variables. L’a</w:t>
      </w:r>
      <w:r w:rsidR="00974058">
        <w:rPr>
          <w:sz w:val="22"/>
        </w:rPr>
        <w:t xml:space="preserve">nalyse des données du tableau </w:t>
      </w:r>
      <w:r w:rsidRPr="009B6AC1">
        <w:rPr>
          <w:sz w:val="22"/>
        </w:rPr>
        <w:t xml:space="preserve">15 montre que la charge de rémunération de la main d’œuvre permanente est beaucoup plus importante que celle supportée pour la main d’œuvre temporaire. Cette différence pourrait s’expliquer par l’effectif plus important de main d’œuvre permanente. </w:t>
      </w:r>
    </w:p>
    <w:p w:rsidR="00AB1D5F" w:rsidRPr="009B6AC1" w:rsidRDefault="00AB1D5F" w:rsidP="00AB1D5F">
      <w:pPr>
        <w:spacing w:after="200" w:line="240" w:lineRule="auto"/>
        <w:rPr>
          <w:rFonts w:ascii="Times New Roman" w:hAnsi="Times New Roman" w:cs="Times New Roman"/>
          <w:iCs/>
          <w:sz w:val="24"/>
          <w:szCs w:val="18"/>
        </w:rPr>
      </w:pPr>
      <w:bookmarkStart w:id="78" w:name="_Toc1484432"/>
      <w:bookmarkStart w:id="79" w:name="_Toc3549372"/>
      <w:bookmarkStart w:id="80" w:name="_Toc34828010"/>
      <w:r w:rsidRPr="009B6AC1">
        <w:rPr>
          <w:rFonts w:ascii="Times New Roman" w:hAnsi="Times New Roman" w:cs="Times New Roman"/>
          <w:b/>
          <w:iCs/>
          <w:szCs w:val="18"/>
        </w:rPr>
        <w:t xml:space="preserve">Tableau </w:t>
      </w:r>
      <w:r w:rsidRPr="009B6AC1">
        <w:rPr>
          <w:rFonts w:ascii="Times New Roman" w:hAnsi="Times New Roman" w:cs="Times New Roman"/>
          <w:b/>
          <w:iCs/>
          <w:szCs w:val="18"/>
        </w:rPr>
        <w:fldChar w:fldCharType="begin"/>
      </w:r>
      <w:r w:rsidRPr="009B6AC1">
        <w:rPr>
          <w:rFonts w:ascii="Times New Roman" w:hAnsi="Times New Roman" w:cs="Times New Roman"/>
          <w:b/>
          <w:iCs/>
          <w:szCs w:val="18"/>
        </w:rPr>
        <w:instrText xml:space="preserve"> SEQ Tableau \* ARABIC \s 1 </w:instrText>
      </w:r>
      <w:r w:rsidRPr="009B6AC1">
        <w:rPr>
          <w:rFonts w:ascii="Times New Roman" w:hAnsi="Times New Roman" w:cs="Times New Roman"/>
          <w:b/>
          <w:iCs/>
          <w:szCs w:val="18"/>
        </w:rPr>
        <w:fldChar w:fldCharType="separate"/>
      </w:r>
      <w:r w:rsidRPr="009B6AC1">
        <w:rPr>
          <w:rFonts w:ascii="Times New Roman" w:hAnsi="Times New Roman" w:cs="Times New Roman"/>
          <w:b/>
          <w:iCs/>
          <w:noProof/>
          <w:szCs w:val="18"/>
        </w:rPr>
        <w:t>15</w:t>
      </w:r>
      <w:r w:rsidRPr="009B6AC1">
        <w:rPr>
          <w:rFonts w:ascii="Times New Roman" w:hAnsi="Times New Roman" w:cs="Times New Roman"/>
          <w:b/>
          <w:iCs/>
          <w:szCs w:val="18"/>
        </w:rPr>
        <w:fldChar w:fldCharType="end"/>
      </w:r>
      <w:r w:rsidRPr="009B6AC1">
        <w:rPr>
          <w:rFonts w:ascii="Times New Roman" w:hAnsi="Times New Roman" w:cs="Times New Roman"/>
          <w:b/>
          <w:iCs/>
          <w:szCs w:val="18"/>
        </w:rPr>
        <w:t> :</w:t>
      </w:r>
      <w:r w:rsidRPr="009B6AC1">
        <w:rPr>
          <w:rFonts w:ascii="Times New Roman" w:hAnsi="Times New Roman" w:cs="Times New Roman"/>
          <w:iCs/>
          <w:szCs w:val="18"/>
        </w:rPr>
        <w:t xml:space="preserve"> Coûts de rémunération de la Main d’œuvre (MO)</w:t>
      </w:r>
      <w:bookmarkEnd w:id="78"/>
      <w:bookmarkEnd w:id="79"/>
      <w:bookmarkEnd w:id="80"/>
    </w:p>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098"/>
        <w:gridCol w:w="2155"/>
        <w:gridCol w:w="1814"/>
      </w:tblGrid>
      <w:tr w:rsidR="00AB1D5F" w:rsidRPr="009B6AC1" w:rsidTr="009B6AC1">
        <w:trPr>
          <w:trHeight w:val="303"/>
        </w:trPr>
        <w:tc>
          <w:tcPr>
            <w:tcW w:w="5098" w:type="dxa"/>
            <w:shd w:val="clear" w:color="auto" w:fill="auto"/>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Coûts de la main d’œuvre (N=87)</w:t>
            </w:r>
          </w:p>
        </w:tc>
        <w:tc>
          <w:tcPr>
            <w:tcW w:w="2155" w:type="dxa"/>
            <w:shd w:val="clear" w:color="auto" w:fill="auto"/>
            <w:noWrap/>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 xml:space="preserve">Démarrage </w:t>
            </w:r>
          </w:p>
        </w:tc>
        <w:tc>
          <w:tcPr>
            <w:tcW w:w="1814" w:type="dxa"/>
            <w:shd w:val="clear" w:color="auto" w:fill="auto"/>
            <w:noWrap/>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2018</w:t>
            </w:r>
          </w:p>
        </w:tc>
      </w:tr>
      <w:tr w:rsidR="00AB1D5F" w:rsidRPr="009B6AC1" w:rsidTr="009B6AC1">
        <w:trPr>
          <w:trHeight w:val="198"/>
        </w:trPr>
        <w:tc>
          <w:tcPr>
            <w:tcW w:w="5098" w:type="dxa"/>
            <w:shd w:val="clear" w:color="auto" w:fill="auto"/>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 xml:space="preserve">MO permanente </w:t>
            </w:r>
          </w:p>
        </w:tc>
        <w:tc>
          <w:tcPr>
            <w:tcW w:w="2155" w:type="dxa"/>
            <w:shd w:val="clear" w:color="auto" w:fill="auto"/>
            <w:noWrap/>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p>
        </w:tc>
        <w:tc>
          <w:tcPr>
            <w:tcW w:w="1814" w:type="dxa"/>
            <w:shd w:val="clear" w:color="auto" w:fill="auto"/>
            <w:noWrap/>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p>
        </w:tc>
      </w:tr>
      <w:tr w:rsidR="00AB1D5F" w:rsidRPr="009B6AC1" w:rsidTr="009B6AC1">
        <w:trPr>
          <w:trHeight w:val="390"/>
        </w:trPr>
        <w:tc>
          <w:tcPr>
            <w:tcW w:w="5098"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Dépenses mensuelles totales moyennes pour la MO familiale (FCFA/mois)</w:t>
            </w:r>
          </w:p>
        </w:tc>
        <w:tc>
          <w:tcPr>
            <w:tcW w:w="2155" w:type="dxa"/>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33793,10</w:t>
            </w:r>
          </w:p>
        </w:tc>
        <w:tc>
          <w:tcPr>
            <w:tcW w:w="1814" w:type="dxa"/>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62816,09</w:t>
            </w:r>
          </w:p>
        </w:tc>
      </w:tr>
      <w:tr w:rsidR="00AB1D5F" w:rsidRPr="009B6AC1" w:rsidTr="009B6AC1">
        <w:trPr>
          <w:trHeight w:val="406"/>
        </w:trPr>
        <w:tc>
          <w:tcPr>
            <w:tcW w:w="5098"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Dépenses mensuelles totales moyennes pour la MO salariée (XOF)</w:t>
            </w:r>
          </w:p>
        </w:tc>
        <w:tc>
          <w:tcPr>
            <w:tcW w:w="2155" w:type="dxa"/>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74827,59</w:t>
            </w:r>
          </w:p>
        </w:tc>
        <w:tc>
          <w:tcPr>
            <w:tcW w:w="1814" w:type="dxa"/>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108448,28</w:t>
            </w:r>
          </w:p>
        </w:tc>
      </w:tr>
      <w:tr w:rsidR="00AB1D5F" w:rsidRPr="009B6AC1" w:rsidTr="009B6AC1">
        <w:trPr>
          <w:trHeight w:val="223"/>
        </w:trPr>
        <w:tc>
          <w:tcPr>
            <w:tcW w:w="5098" w:type="dxa"/>
            <w:shd w:val="clear" w:color="auto" w:fill="auto"/>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 xml:space="preserve">MO temporaire </w:t>
            </w:r>
          </w:p>
        </w:tc>
        <w:tc>
          <w:tcPr>
            <w:tcW w:w="2155" w:type="dxa"/>
            <w:shd w:val="clear" w:color="auto" w:fill="auto"/>
            <w:noWrap/>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p>
        </w:tc>
        <w:tc>
          <w:tcPr>
            <w:tcW w:w="1814" w:type="dxa"/>
            <w:shd w:val="clear" w:color="auto" w:fill="auto"/>
            <w:noWrap/>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p>
        </w:tc>
      </w:tr>
      <w:tr w:rsidR="00AB1D5F" w:rsidRPr="009B6AC1" w:rsidTr="009B6AC1">
        <w:trPr>
          <w:trHeight w:val="380"/>
        </w:trPr>
        <w:tc>
          <w:tcPr>
            <w:tcW w:w="5098"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Dépenses mensuelles totales pour la MO familiale (XOF)</w:t>
            </w:r>
          </w:p>
        </w:tc>
        <w:tc>
          <w:tcPr>
            <w:tcW w:w="2155" w:type="dxa"/>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1603,45</w:t>
            </w:r>
          </w:p>
        </w:tc>
        <w:tc>
          <w:tcPr>
            <w:tcW w:w="1814" w:type="dxa"/>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6321,84</w:t>
            </w:r>
          </w:p>
        </w:tc>
      </w:tr>
      <w:tr w:rsidR="00AB1D5F" w:rsidRPr="009B6AC1" w:rsidTr="009B6AC1">
        <w:trPr>
          <w:trHeight w:val="303"/>
        </w:trPr>
        <w:tc>
          <w:tcPr>
            <w:tcW w:w="5098"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Dépenses mensuelles totales pour la MO salariée (XOF)</w:t>
            </w:r>
          </w:p>
        </w:tc>
        <w:tc>
          <w:tcPr>
            <w:tcW w:w="2155" w:type="dxa"/>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9166,67</w:t>
            </w:r>
          </w:p>
        </w:tc>
        <w:tc>
          <w:tcPr>
            <w:tcW w:w="1814" w:type="dxa"/>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41699,43</w:t>
            </w:r>
          </w:p>
        </w:tc>
      </w:tr>
    </w:tbl>
    <w:p w:rsidR="00AB1D5F" w:rsidRPr="00B423E0" w:rsidRDefault="00AB1D5F" w:rsidP="00AB1D5F">
      <w:pPr>
        <w:rPr>
          <w:rFonts w:ascii="Times New Roman" w:hAnsi="Times New Roman" w:cs="Times New Roman"/>
          <w:b/>
          <w:sz w:val="28"/>
          <w:szCs w:val="28"/>
        </w:rPr>
      </w:pPr>
      <w:r w:rsidRPr="00B423E0">
        <w:rPr>
          <w:rFonts w:ascii="Times New Roman" w:hAnsi="Times New Roman" w:cs="Times New Roman"/>
        </w:rPr>
        <w:t>Source : Enquêtes PAPA, 2018</w:t>
      </w:r>
    </w:p>
    <w:p w:rsidR="00AB1D5F" w:rsidRPr="009B6AC1" w:rsidRDefault="00AB1D5F" w:rsidP="00AB1D5F">
      <w:pPr>
        <w:pStyle w:val="RapportPAPA0"/>
        <w:rPr>
          <w:sz w:val="22"/>
        </w:rPr>
      </w:pPr>
      <w:r w:rsidRPr="009B6AC1">
        <w:rPr>
          <w:sz w:val="22"/>
        </w:rPr>
        <w:t>Les coûts de fonctionnement hors main d’œuvre les plus importants sont ceux liés à l’espace de vente utilisé. Il s’agit du coût de la location d’espace de vente et de la taxe locale sur l’étal</w:t>
      </w:r>
      <w:r w:rsidR="00974058">
        <w:rPr>
          <w:sz w:val="22"/>
        </w:rPr>
        <w:t>, payée à la commune (tableau </w:t>
      </w:r>
      <w:r w:rsidRPr="009B6AC1">
        <w:rPr>
          <w:sz w:val="22"/>
        </w:rPr>
        <w:t xml:space="preserve">16). Ensuite, les factures d’électricité et de téléphonie constituent d’autres charges mensuelles importantes. Elles sont suivies des coûts d’achat de matériels de conditionnement. De plus, depuis la création des entreprises à 2018, toutes les charges ont augmenté considérablement. </w:t>
      </w:r>
    </w:p>
    <w:p w:rsidR="00AB1D5F" w:rsidRPr="009B6AC1" w:rsidRDefault="00AB1D5F" w:rsidP="00AB1D5F">
      <w:pPr>
        <w:spacing w:after="200" w:line="240" w:lineRule="auto"/>
        <w:rPr>
          <w:rFonts w:ascii="Times New Roman" w:hAnsi="Times New Roman" w:cs="Times New Roman"/>
          <w:iCs/>
          <w:szCs w:val="24"/>
        </w:rPr>
      </w:pPr>
      <w:bookmarkStart w:id="81" w:name="_Toc1484434"/>
      <w:bookmarkStart w:id="82" w:name="_Toc3549373"/>
      <w:bookmarkStart w:id="83" w:name="_Toc34828011"/>
      <w:r w:rsidRPr="009B6AC1">
        <w:rPr>
          <w:rFonts w:ascii="Times New Roman" w:hAnsi="Times New Roman" w:cs="Times New Roman"/>
          <w:b/>
          <w:iCs/>
          <w:szCs w:val="24"/>
        </w:rPr>
        <w:t xml:space="preserve">Tableau </w:t>
      </w:r>
      <w:r w:rsidRPr="009B6AC1">
        <w:rPr>
          <w:rFonts w:ascii="Times New Roman" w:hAnsi="Times New Roman" w:cs="Times New Roman"/>
          <w:b/>
          <w:iCs/>
          <w:szCs w:val="24"/>
        </w:rPr>
        <w:fldChar w:fldCharType="begin"/>
      </w:r>
      <w:r w:rsidRPr="009B6AC1">
        <w:rPr>
          <w:rFonts w:ascii="Times New Roman" w:hAnsi="Times New Roman" w:cs="Times New Roman"/>
          <w:b/>
          <w:iCs/>
          <w:szCs w:val="24"/>
        </w:rPr>
        <w:instrText xml:space="preserve"> SEQ Tableau \* ARABIC \s 1 </w:instrText>
      </w:r>
      <w:r w:rsidRPr="009B6AC1">
        <w:rPr>
          <w:rFonts w:ascii="Times New Roman" w:hAnsi="Times New Roman" w:cs="Times New Roman"/>
          <w:b/>
          <w:iCs/>
          <w:szCs w:val="24"/>
        </w:rPr>
        <w:fldChar w:fldCharType="separate"/>
      </w:r>
      <w:r w:rsidRPr="009B6AC1">
        <w:rPr>
          <w:rFonts w:ascii="Times New Roman" w:hAnsi="Times New Roman" w:cs="Times New Roman"/>
          <w:b/>
          <w:iCs/>
          <w:noProof/>
          <w:szCs w:val="24"/>
        </w:rPr>
        <w:t>16</w:t>
      </w:r>
      <w:r w:rsidRPr="009B6AC1">
        <w:rPr>
          <w:rFonts w:ascii="Times New Roman" w:hAnsi="Times New Roman" w:cs="Times New Roman"/>
          <w:b/>
          <w:iCs/>
          <w:szCs w:val="24"/>
        </w:rPr>
        <w:fldChar w:fldCharType="end"/>
      </w:r>
      <w:r w:rsidRPr="009B6AC1">
        <w:rPr>
          <w:rFonts w:ascii="Times New Roman" w:hAnsi="Times New Roman" w:cs="Times New Roman"/>
          <w:b/>
          <w:iCs/>
          <w:szCs w:val="24"/>
        </w:rPr>
        <w:t> :</w:t>
      </w:r>
      <w:r w:rsidRPr="009B6AC1">
        <w:rPr>
          <w:rFonts w:ascii="Times New Roman" w:hAnsi="Times New Roman" w:cs="Times New Roman"/>
          <w:iCs/>
          <w:szCs w:val="24"/>
        </w:rPr>
        <w:t xml:space="preserve"> </w:t>
      </w:r>
      <w:r w:rsidRPr="009B6AC1">
        <w:rPr>
          <w:rFonts w:ascii="Times New Roman" w:eastAsia="Times New Roman" w:hAnsi="Times New Roman" w:cs="Times New Roman"/>
          <w:bCs/>
          <w:iCs/>
          <w:color w:val="000000"/>
          <w:szCs w:val="24"/>
          <w:lang w:eastAsia="fr-FR"/>
        </w:rPr>
        <w:t>Les Coûts de fonctionnement moyens par mois (FCFA), hors main d’œuvre</w:t>
      </w:r>
      <w:bookmarkEnd w:id="81"/>
      <w:bookmarkEnd w:id="82"/>
      <w:bookmarkEnd w:id="83"/>
      <w:r w:rsidRPr="009B6AC1">
        <w:rPr>
          <w:rFonts w:ascii="Times New Roman" w:eastAsia="Times New Roman" w:hAnsi="Times New Roman" w:cs="Times New Roman"/>
          <w:bCs/>
          <w:iCs/>
          <w:color w:val="000000"/>
          <w:szCs w:val="24"/>
          <w:lang w:eastAsia="fr-FR"/>
        </w:rPr>
        <w:t xml:space="preserve"> </w:t>
      </w:r>
    </w:p>
    <w:tbl>
      <w:tblPr>
        <w:tblW w:w="92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760"/>
        <w:gridCol w:w="2382"/>
        <w:gridCol w:w="2101"/>
      </w:tblGrid>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 Coûts hors MO (N=87)</w:t>
            </w:r>
          </w:p>
        </w:tc>
        <w:tc>
          <w:tcPr>
            <w:tcW w:w="2382"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Démarrage</w:t>
            </w:r>
          </w:p>
        </w:tc>
        <w:tc>
          <w:tcPr>
            <w:tcW w:w="2101"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2018</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sz w:val="20"/>
                <w:szCs w:val="20"/>
                <w:lang w:eastAsia="fr-FR"/>
              </w:rPr>
            </w:pPr>
            <w:r w:rsidRPr="009B6AC1">
              <w:rPr>
                <w:rFonts w:ascii="Times New Roman" w:eastAsia="Times New Roman" w:hAnsi="Times New Roman" w:cs="Times New Roman"/>
                <w:bCs/>
                <w:sz w:val="20"/>
                <w:szCs w:val="20"/>
                <w:lang w:eastAsia="fr-FR"/>
              </w:rPr>
              <w:t>Location d’espace de vente</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68597,70</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94074,71</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Taxe locale sur l’étal payée à la commune</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10391,95</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14236,78</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Autre impôt et taxe</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8220,52</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20364,14</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Location d’entrepôt</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459,77</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10603,45</w:t>
            </w:r>
          </w:p>
        </w:tc>
      </w:tr>
      <w:tr w:rsidR="00AB1D5F" w:rsidRPr="009B6AC1" w:rsidTr="00AB1D5F">
        <w:trPr>
          <w:trHeight w:val="361"/>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Remboursement prêt pour acquérir le matériel de chargement</w:t>
            </w:r>
          </w:p>
        </w:tc>
        <w:tc>
          <w:tcPr>
            <w:tcW w:w="2382" w:type="dxa"/>
            <w:shd w:val="clear" w:color="auto" w:fill="auto"/>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0,00</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287,36</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Maintenance régulière du matériel</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344,83</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402,30</w:t>
            </w:r>
          </w:p>
        </w:tc>
      </w:tr>
      <w:tr w:rsidR="00AB1D5F" w:rsidRPr="009B6AC1" w:rsidTr="00AB1D5F">
        <w:trPr>
          <w:trHeight w:val="361"/>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Maintenance régulière du matériel de transport</w:t>
            </w:r>
          </w:p>
        </w:tc>
        <w:tc>
          <w:tcPr>
            <w:tcW w:w="2382"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 </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2931,03</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Assurance du matériel de transport</w:t>
            </w:r>
          </w:p>
        </w:tc>
        <w:tc>
          <w:tcPr>
            <w:tcW w:w="2382"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 </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5890,80</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Facture d’eau</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474,71</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927,59</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Facture d’électricité</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16976,44</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24608,05</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Facture d’essence</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3402,30</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8517,24</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Téléphone et radio pour l’entreprise</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6275,86</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9856,32</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Cotisations</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178,16</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350,57</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Sacs en plastique</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1482,76</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2695,40</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Sacs en jute</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57,47</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229,89</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Sachets plastiques</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2879,31</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5821,84</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Sachets papiers</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183,91</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275,86</w:t>
            </w:r>
          </w:p>
        </w:tc>
      </w:tr>
      <w:tr w:rsidR="00AB1D5F" w:rsidRPr="009B6AC1" w:rsidTr="00AB1D5F">
        <w:trPr>
          <w:trHeight w:val="180"/>
        </w:trPr>
        <w:tc>
          <w:tcPr>
            <w:tcW w:w="4760" w:type="dxa"/>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Autre emballage</w:t>
            </w:r>
          </w:p>
        </w:tc>
        <w:tc>
          <w:tcPr>
            <w:tcW w:w="2382"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1252,87</w:t>
            </w:r>
          </w:p>
        </w:tc>
        <w:tc>
          <w:tcPr>
            <w:tcW w:w="2101" w:type="dxa"/>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3689,66</w:t>
            </w:r>
          </w:p>
        </w:tc>
      </w:tr>
      <w:tr w:rsidR="00AB1D5F" w:rsidRPr="009B6AC1" w:rsidTr="00AB1D5F">
        <w:trPr>
          <w:trHeight w:val="180"/>
        </w:trPr>
        <w:tc>
          <w:tcPr>
            <w:tcW w:w="4760" w:type="dxa"/>
            <w:shd w:val="clear" w:color="auto" w:fill="auto"/>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Total (FCFA)</w:t>
            </w:r>
          </w:p>
        </w:tc>
        <w:tc>
          <w:tcPr>
            <w:tcW w:w="2382" w:type="dxa"/>
            <w:shd w:val="clear" w:color="auto" w:fill="auto"/>
            <w:noWrap/>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p>
        </w:tc>
        <w:tc>
          <w:tcPr>
            <w:tcW w:w="2101" w:type="dxa"/>
            <w:shd w:val="clear" w:color="auto" w:fill="auto"/>
            <w:noWrap/>
          </w:tcPr>
          <w:p w:rsidR="00AB1D5F" w:rsidRPr="009B6AC1" w:rsidRDefault="00AB1D5F" w:rsidP="00AB1D5F">
            <w:pPr>
              <w:spacing w:after="0" w:line="240" w:lineRule="auto"/>
              <w:jc w:val="right"/>
              <w:rPr>
                <w:rFonts w:ascii="Times New Roman" w:eastAsia="Times New Roman" w:hAnsi="Times New Roman" w:cs="Times New Roman"/>
                <w:b/>
                <w:color w:val="000000"/>
                <w:sz w:val="20"/>
                <w:szCs w:val="20"/>
                <w:lang w:eastAsia="fr-FR"/>
              </w:rPr>
            </w:pPr>
            <w:r w:rsidRPr="009B6AC1">
              <w:rPr>
                <w:rFonts w:ascii="Times New Roman" w:eastAsia="Times New Roman" w:hAnsi="Times New Roman" w:cs="Times New Roman"/>
                <w:b/>
                <w:color w:val="000000"/>
                <w:sz w:val="20"/>
                <w:szCs w:val="20"/>
                <w:lang w:eastAsia="fr-FR"/>
              </w:rPr>
              <w:t>205 761</w:t>
            </w:r>
          </w:p>
        </w:tc>
      </w:tr>
    </w:tbl>
    <w:p w:rsidR="00AB1D5F" w:rsidRPr="00B423E0" w:rsidRDefault="00AB1D5F" w:rsidP="00AB1D5F">
      <w:pPr>
        <w:rPr>
          <w:rFonts w:ascii="Times New Roman" w:hAnsi="Times New Roman" w:cs="Times New Roman"/>
        </w:rPr>
      </w:pPr>
      <w:r w:rsidRPr="00B423E0">
        <w:rPr>
          <w:rFonts w:ascii="Times New Roman" w:hAnsi="Times New Roman" w:cs="Times New Roman"/>
        </w:rPr>
        <w:t>Source : Enquête PAPA, 2018</w:t>
      </w:r>
    </w:p>
    <w:p w:rsidR="00AB1D5F" w:rsidRPr="009B6AC1" w:rsidRDefault="00974058" w:rsidP="00AB1D5F">
      <w:pPr>
        <w:spacing w:before="120" w:after="120" w:line="360" w:lineRule="auto"/>
        <w:jc w:val="both"/>
        <w:rPr>
          <w:rFonts w:ascii="Times New Roman" w:eastAsia="Calibri" w:hAnsi="Times New Roman" w:cs="Times New Roman"/>
          <w:szCs w:val="24"/>
        </w:rPr>
      </w:pPr>
      <w:r>
        <w:rPr>
          <w:rFonts w:ascii="Times New Roman" w:eastAsia="Calibri" w:hAnsi="Times New Roman" w:cs="Times New Roman"/>
          <w:szCs w:val="24"/>
        </w:rPr>
        <w:lastRenderedPageBreak/>
        <w:t xml:space="preserve">Le tableau </w:t>
      </w:r>
      <w:r w:rsidR="00AB1D5F" w:rsidRPr="009B6AC1">
        <w:rPr>
          <w:rFonts w:ascii="Times New Roman" w:eastAsia="Calibri" w:hAnsi="Times New Roman" w:cs="Times New Roman"/>
          <w:szCs w:val="24"/>
        </w:rPr>
        <w:t>17 présente la structure des principales charges des grossistes. C’est la main-d’œuvre qui constitue le plus grand poste de dépenses. L’électricité a aussi une part non négligeable dans les coûts des entreprises. Ainsi, malgré le fait que les entreprises utilisent peu de main-d’œuvre, les charges liées à celle-ci sont importantes et par conséquent peuvent réduire les incitations à recruter plus de personnel. Les impôts et taxes payés par les commerçants sont non négligeables (8% des coûts). Cela montre que le statut d’informel n’empêche pas l’existence de charges fiscales, surtout les taxes communales collectées progressivement par les agents des mairies. La possibilité de voir ses taxes augmenter peut réduire le taux de formalisation.</w:t>
      </w:r>
    </w:p>
    <w:p w:rsidR="00AB1D5F" w:rsidRPr="009B6AC1" w:rsidRDefault="00AB1D5F" w:rsidP="00AB1D5F">
      <w:pPr>
        <w:keepNext/>
        <w:spacing w:after="120" w:line="240" w:lineRule="auto"/>
        <w:rPr>
          <w:rFonts w:ascii="Times New Roman" w:eastAsia="Calibri" w:hAnsi="Times New Roman" w:cs="Times New Roman"/>
          <w:iCs/>
          <w:szCs w:val="18"/>
        </w:rPr>
      </w:pPr>
      <w:bookmarkStart w:id="84" w:name="_Toc1484517"/>
      <w:bookmarkStart w:id="85" w:name="_Toc34828012"/>
      <w:r w:rsidRPr="009B6AC1">
        <w:rPr>
          <w:rFonts w:ascii="Times New Roman" w:eastAsia="Calibri" w:hAnsi="Times New Roman" w:cs="Times New Roman"/>
          <w:b/>
          <w:iCs/>
          <w:szCs w:val="18"/>
        </w:rPr>
        <w:t xml:space="preserve">Tableau </w:t>
      </w:r>
      <w:r w:rsidRPr="009B6AC1">
        <w:rPr>
          <w:rFonts w:ascii="Times New Roman" w:eastAsia="Calibri" w:hAnsi="Times New Roman" w:cs="Times New Roman"/>
          <w:b/>
          <w:iCs/>
          <w:szCs w:val="18"/>
        </w:rPr>
        <w:fldChar w:fldCharType="begin"/>
      </w:r>
      <w:r w:rsidRPr="009B6AC1">
        <w:rPr>
          <w:rFonts w:ascii="Times New Roman" w:eastAsia="Calibri" w:hAnsi="Times New Roman" w:cs="Times New Roman"/>
          <w:b/>
          <w:iCs/>
          <w:szCs w:val="18"/>
        </w:rPr>
        <w:instrText xml:space="preserve"> SEQ Tableau \* ARABIC \s 1 </w:instrText>
      </w:r>
      <w:r w:rsidRPr="009B6AC1">
        <w:rPr>
          <w:rFonts w:ascii="Times New Roman" w:eastAsia="Calibri" w:hAnsi="Times New Roman" w:cs="Times New Roman"/>
          <w:b/>
          <w:iCs/>
          <w:szCs w:val="18"/>
        </w:rPr>
        <w:fldChar w:fldCharType="separate"/>
      </w:r>
      <w:r w:rsidRPr="009B6AC1">
        <w:rPr>
          <w:rFonts w:ascii="Times New Roman" w:eastAsia="Calibri" w:hAnsi="Times New Roman" w:cs="Times New Roman"/>
          <w:b/>
          <w:iCs/>
          <w:noProof/>
          <w:szCs w:val="18"/>
        </w:rPr>
        <w:t>17</w:t>
      </w:r>
      <w:r w:rsidRPr="009B6AC1">
        <w:rPr>
          <w:rFonts w:ascii="Times New Roman" w:eastAsia="Calibri" w:hAnsi="Times New Roman" w:cs="Times New Roman"/>
          <w:b/>
          <w:iCs/>
          <w:szCs w:val="18"/>
        </w:rPr>
        <w:fldChar w:fldCharType="end"/>
      </w:r>
      <w:r w:rsidRPr="009B6AC1">
        <w:rPr>
          <w:rFonts w:ascii="Times New Roman" w:eastAsia="Calibri" w:hAnsi="Times New Roman" w:cs="Times New Roman"/>
          <w:iCs/>
          <w:szCs w:val="18"/>
        </w:rPr>
        <w:t>: Structure des principales charges des grossistes</w:t>
      </w:r>
      <w:bookmarkEnd w:id="84"/>
      <w:bookmarkEnd w:id="85"/>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93"/>
        <w:gridCol w:w="4569"/>
      </w:tblGrid>
      <w:tr w:rsidR="00AB1D5F" w:rsidRPr="009B6AC1" w:rsidTr="00AB1D5F">
        <w:trPr>
          <w:trHeight w:val="288"/>
        </w:trPr>
        <w:tc>
          <w:tcPr>
            <w:tcW w:w="2479"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szCs w:val="24"/>
                <w:lang w:eastAsia="fr-FR"/>
              </w:rPr>
            </w:pPr>
            <w:r w:rsidRPr="009B6AC1">
              <w:rPr>
                <w:rFonts w:ascii="Times New Roman" w:eastAsia="Times New Roman" w:hAnsi="Times New Roman" w:cs="Times New Roman"/>
                <w:b/>
                <w:szCs w:val="24"/>
                <w:lang w:eastAsia="fr-FR"/>
              </w:rPr>
              <w:t>Poste de dépenses</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color w:val="000000"/>
                <w:szCs w:val="24"/>
                <w:lang w:eastAsia="fr-FR"/>
              </w:rPr>
            </w:pPr>
            <w:r w:rsidRPr="009B6AC1">
              <w:rPr>
                <w:rFonts w:ascii="Times New Roman" w:eastAsia="Times New Roman" w:hAnsi="Times New Roman" w:cs="Times New Roman"/>
                <w:b/>
                <w:color w:val="000000"/>
                <w:szCs w:val="24"/>
                <w:lang w:eastAsia="fr-FR"/>
              </w:rPr>
              <w:t>Part dans les coûts totaux (%)</w:t>
            </w:r>
          </w:p>
        </w:tc>
      </w:tr>
      <w:tr w:rsidR="00AB1D5F" w:rsidRPr="009B6AC1" w:rsidTr="00AB1D5F">
        <w:trPr>
          <w:trHeight w:val="288"/>
        </w:trPr>
        <w:tc>
          <w:tcPr>
            <w:tcW w:w="2479"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Main-d'œuvre</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51,6</w:t>
            </w:r>
          </w:p>
        </w:tc>
      </w:tr>
      <w:tr w:rsidR="00AB1D5F" w:rsidRPr="009B6AC1" w:rsidTr="00AB1D5F">
        <w:trPr>
          <w:trHeight w:val="552"/>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Location d’espace de vente</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22,1</w:t>
            </w:r>
          </w:p>
        </w:tc>
      </w:tr>
      <w:tr w:rsidR="00AB1D5F" w:rsidRPr="009B6AC1" w:rsidTr="00AB1D5F">
        <w:trPr>
          <w:trHeight w:val="300"/>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Location d’entrepôt</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2,5</w:t>
            </w:r>
          </w:p>
        </w:tc>
      </w:tr>
      <w:tr w:rsidR="00AB1D5F" w:rsidRPr="009B6AC1" w:rsidTr="00AB1D5F">
        <w:trPr>
          <w:trHeight w:val="300"/>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Impôt et taxes</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8,1</w:t>
            </w:r>
          </w:p>
        </w:tc>
      </w:tr>
      <w:tr w:rsidR="00AB1D5F" w:rsidRPr="009B6AC1" w:rsidTr="00AB1D5F">
        <w:trPr>
          <w:trHeight w:val="852"/>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Remboursement prêt pour acquérir le matériel de chargement</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0,1</w:t>
            </w:r>
          </w:p>
        </w:tc>
      </w:tr>
      <w:tr w:rsidR="00AB1D5F" w:rsidRPr="009B6AC1" w:rsidTr="00AB1D5F">
        <w:trPr>
          <w:trHeight w:val="840"/>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Maintenance régulière du matériel de travail/transport</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0,8</w:t>
            </w:r>
          </w:p>
        </w:tc>
      </w:tr>
      <w:tr w:rsidR="00AB1D5F" w:rsidRPr="009B6AC1" w:rsidTr="00AB1D5F">
        <w:trPr>
          <w:trHeight w:val="564"/>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Assurance du matériel de transport</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1,4</w:t>
            </w:r>
          </w:p>
        </w:tc>
      </w:tr>
      <w:tr w:rsidR="00AB1D5F" w:rsidRPr="009B6AC1" w:rsidTr="00AB1D5F">
        <w:trPr>
          <w:trHeight w:val="564"/>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Facture d’eau</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0,2</w:t>
            </w:r>
          </w:p>
        </w:tc>
      </w:tr>
      <w:tr w:rsidR="00AB1D5F" w:rsidRPr="009B6AC1" w:rsidTr="00AB1D5F">
        <w:trPr>
          <w:trHeight w:val="564"/>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Facture d’électricité</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5,8</w:t>
            </w:r>
          </w:p>
        </w:tc>
      </w:tr>
      <w:tr w:rsidR="00AB1D5F" w:rsidRPr="009B6AC1" w:rsidTr="00AB1D5F">
        <w:trPr>
          <w:trHeight w:val="300"/>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Facture d’essence</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2,0</w:t>
            </w:r>
          </w:p>
        </w:tc>
      </w:tr>
      <w:tr w:rsidR="00AB1D5F" w:rsidRPr="009B6AC1" w:rsidTr="00AB1D5F">
        <w:trPr>
          <w:trHeight w:val="564"/>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Téléphone et radio pour l’entreprise</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2,3</w:t>
            </w:r>
          </w:p>
        </w:tc>
      </w:tr>
      <w:tr w:rsidR="00AB1D5F" w:rsidRPr="009B6AC1" w:rsidTr="00AB1D5F">
        <w:trPr>
          <w:trHeight w:val="300"/>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Cotisations</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0,1</w:t>
            </w:r>
          </w:p>
        </w:tc>
      </w:tr>
      <w:tr w:rsidR="00AB1D5F" w:rsidRPr="009B6AC1" w:rsidTr="00AB1D5F">
        <w:trPr>
          <w:trHeight w:val="300"/>
        </w:trPr>
        <w:tc>
          <w:tcPr>
            <w:tcW w:w="2479"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Emballage</w:t>
            </w:r>
          </w:p>
        </w:tc>
        <w:tc>
          <w:tcPr>
            <w:tcW w:w="2521"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color w:val="000000"/>
                <w:szCs w:val="24"/>
                <w:lang w:eastAsia="fr-FR"/>
              </w:rPr>
            </w:pPr>
            <w:r w:rsidRPr="009B6AC1">
              <w:rPr>
                <w:rFonts w:ascii="Times New Roman" w:eastAsia="Times New Roman" w:hAnsi="Times New Roman" w:cs="Times New Roman"/>
                <w:color w:val="000000"/>
                <w:szCs w:val="24"/>
                <w:lang w:eastAsia="fr-FR"/>
              </w:rPr>
              <w:t>3,0</w:t>
            </w:r>
          </w:p>
        </w:tc>
      </w:tr>
    </w:tbl>
    <w:p w:rsidR="00AB1D5F" w:rsidRPr="00B423E0" w:rsidRDefault="00AB1D5F" w:rsidP="00AB1D5F">
      <w:pPr>
        <w:spacing w:after="0" w:line="360" w:lineRule="auto"/>
        <w:jc w:val="both"/>
        <w:rPr>
          <w:rFonts w:ascii="Times New Roman" w:eastAsia="Calibri" w:hAnsi="Times New Roman" w:cs="Times New Roman"/>
        </w:rPr>
      </w:pPr>
      <w:r w:rsidRPr="00B423E0">
        <w:rPr>
          <w:rFonts w:ascii="Times New Roman" w:eastAsia="Calibri" w:hAnsi="Times New Roman" w:cs="Times New Roman"/>
        </w:rPr>
        <w:t>Source : Données PAPA 2018, calculs auteurs</w:t>
      </w:r>
    </w:p>
    <w:p w:rsidR="00AB1D5F" w:rsidRPr="009B6AC1" w:rsidRDefault="00AB1D5F" w:rsidP="00AB1D5F">
      <w:pPr>
        <w:spacing w:before="120" w:after="120" w:line="360" w:lineRule="auto"/>
        <w:jc w:val="both"/>
        <w:rPr>
          <w:rFonts w:ascii="Times New Roman" w:eastAsia="Calibri" w:hAnsi="Times New Roman" w:cs="Times New Roman"/>
          <w:szCs w:val="24"/>
        </w:rPr>
      </w:pPr>
      <w:r w:rsidRPr="009B6AC1">
        <w:rPr>
          <w:rFonts w:ascii="Times New Roman" w:eastAsia="Calibri" w:hAnsi="Times New Roman" w:cs="Times New Roman"/>
          <w:szCs w:val="24"/>
        </w:rPr>
        <w:t>Les prix moyens unitaires de vente des céréales son</w:t>
      </w:r>
      <w:r w:rsidR="00974058">
        <w:rPr>
          <w:rFonts w:ascii="Times New Roman" w:eastAsia="Calibri" w:hAnsi="Times New Roman" w:cs="Times New Roman"/>
          <w:szCs w:val="24"/>
        </w:rPr>
        <w:t xml:space="preserve">t représentés dans le tableau </w:t>
      </w:r>
      <w:r w:rsidRPr="009B6AC1">
        <w:rPr>
          <w:rFonts w:ascii="Times New Roman" w:eastAsia="Calibri" w:hAnsi="Times New Roman" w:cs="Times New Roman"/>
          <w:szCs w:val="24"/>
        </w:rPr>
        <w:t>18. L’analyse de ce tableau montre que les prix unitaires du mil, du maïs, et du sorgho son peu différents, le maïs étant le moins cher et le sorgho plus cher. Le prix de vente du fonio est 4 fois plus cher que celui des autres céréales (875,63 FCFA/kg).</w:t>
      </w:r>
    </w:p>
    <w:p w:rsidR="009B6AC1" w:rsidRDefault="009B6AC1" w:rsidP="00AB1D5F">
      <w:pPr>
        <w:spacing w:after="200" w:line="240" w:lineRule="auto"/>
        <w:rPr>
          <w:rFonts w:ascii="Times New Roman" w:eastAsia="Calibri" w:hAnsi="Times New Roman" w:cs="Times New Roman"/>
          <w:b/>
          <w:iCs/>
          <w:szCs w:val="24"/>
        </w:rPr>
      </w:pPr>
      <w:bookmarkStart w:id="86" w:name="_Toc1484435"/>
      <w:bookmarkStart w:id="87" w:name="_Toc34828013"/>
    </w:p>
    <w:p w:rsidR="009B6AC1" w:rsidRDefault="009B6AC1" w:rsidP="00AB1D5F">
      <w:pPr>
        <w:spacing w:after="200" w:line="240" w:lineRule="auto"/>
        <w:rPr>
          <w:rFonts w:ascii="Times New Roman" w:eastAsia="Calibri" w:hAnsi="Times New Roman" w:cs="Times New Roman"/>
          <w:b/>
          <w:iCs/>
          <w:szCs w:val="24"/>
        </w:rPr>
      </w:pPr>
    </w:p>
    <w:p w:rsidR="009B6AC1" w:rsidRDefault="009B6AC1" w:rsidP="00AB1D5F">
      <w:pPr>
        <w:spacing w:after="200" w:line="240" w:lineRule="auto"/>
        <w:rPr>
          <w:rFonts w:ascii="Times New Roman" w:eastAsia="Calibri" w:hAnsi="Times New Roman" w:cs="Times New Roman"/>
          <w:b/>
          <w:iCs/>
          <w:szCs w:val="24"/>
        </w:rPr>
      </w:pPr>
    </w:p>
    <w:p w:rsidR="009B6AC1" w:rsidRDefault="009B6AC1" w:rsidP="00AB1D5F">
      <w:pPr>
        <w:spacing w:after="200" w:line="240" w:lineRule="auto"/>
        <w:rPr>
          <w:rFonts w:ascii="Times New Roman" w:eastAsia="Calibri" w:hAnsi="Times New Roman" w:cs="Times New Roman"/>
          <w:b/>
          <w:iCs/>
          <w:szCs w:val="24"/>
        </w:rPr>
      </w:pPr>
    </w:p>
    <w:p w:rsidR="00AB1D5F" w:rsidRPr="009B6AC1" w:rsidRDefault="00AB1D5F" w:rsidP="00AB1D5F">
      <w:pPr>
        <w:spacing w:after="200" w:line="240" w:lineRule="auto"/>
        <w:rPr>
          <w:rFonts w:ascii="Times New Roman" w:eastAsia="Calibri" w:hAnsi="Times New Roman" w:cs="Times New Roman"/>
          <w:iCs/>
          <w:szCs w:val="24"/>
        </w:rPr>
      </w:pPr>
      <w:r w:rsidRPr="009B6AC1">
        <w:rPr>
          <w:rFonts w:ascii="Times New Roman" w:eastAsia="Calibri" w:hAnsi="Times New Roman" w:cs="Times New Roman"/>
          <w:b/>
          <w:iCs/>
          <w:szCs w:val="24"/>
        </w:rPr>
        <w:lastRenderedPageBreak/>
        <w:t xml:space="preserve">Tableau </w:t>
      </w:r>
      <w:r w:rsidRPr="009B6AC1">
        <w:rPr>
          <w:rFonts w:ascii="Times New Roman" w:eastAsia="Calibri" w:hAnsi="Times New Roman" w:cs="Times New Roman"/>
          <w:b/>
          <w:iCs/>
          <w:szCs w:val="24"/>
        </w:rPr>
        <w:fldChar w:fldCharType="begin"/>
      </w:r>
      <w:r w:rsidRPr="009B6AC1">
        <w:rPr>
          <w:rFonts w:ascii="Times New Roman" w:eastAsia="Calibri" w:hAnsi="Times New Roman" w:cs="Times New Roman"/>
          <w:b/>
          <w:iCs/>
          <w:szCs w:val="24"/>
        </w:rPr>
        <w:instrText xml:space="preserve"> SEQ Tableau \* ARABIC \s 1 </w:instrText>
      </w:r>
      <w:r w:rsidRPr="009B6AC1">
        <w:rPr>
          <w:rFonts w:ascii="Times New Roman" w:eastAsia="Calibri" w:hAnsi="Times New Roman" w:cs="Times New Roman"/>
          <w:b/>
          <w:iCs/>
          <w:szCs w:val="24"/>
        </w:rPr>
        <w:fldChar w:fldCharType="separate"/>
      </w:r>
      <w:r w:rsidRPr="009B6AC1">
        <w:rPr>
          <w:rFonts w:ascii="Times New Roman" w:eastAsia="Calibri" w:hAnsi="Times New Roman" w:cs="Times New Roman"/>
          <w:b/>
          <w:iCs/>
          <w:noProof/>
          <w:szCs w:val="24"/>
        </w:rPr>
        <w:t>18</w:t>
      </w:r>
      <w:r w:rsidRPr="009B6AC1">
        <w:rPr>
          <w:rFonts w:ascii="Times New Roman" w:eastAsia="Calibri" w:hAnsi="Times New Roman" w:cs="Times New Roman"/>
          <w:b/>
          <w:iCs/>
          <w:szCs w:val="24"/>
        </w:rPr>
        <w:fldChar w:fldCharType="end"/>
      </w:r>
      <w:r w:rsidRPr="009B6AC1">
        <w:rPr>
          <w:rFonts w:ascii="Times New Roman" w:eastAsia="Calibri" w:hAnsi="Times New Roman" w:cs="Times New Roman"/>
          <w:iCs/>
          <w:szCs w:val="24"/>
        </w:rPr>
        <w:t> : Prix moyens de vente des céréales en FCFA/kg</w:t>
      </w:r>
      <w:bookmarkEnd w:id="86"/>
      <w:bookmarkEnd w:id="87"/>
    </w:p>
    <w:p w:rsidR="009B6AC1" w:rsidRPr="00B423E0" w:rsidRDefault="00AB1D5F" w:rsidP="00AB1D5F">
      <w:pPr>
        <w:rPr>
          <w:rFonts w:ascii="Times New Roman" w:eastAsia="Calibri" w:hAnsi="Times New Roman" w:cs="Times New Roman"/>
        </w:rPr>
      </w:pPr>
      <w:r w:rsidRPr="00B423E0">
        <w:rPr>
          <w:rFonts w:ascii="Times New Roman" w:eastAsia="Calibri" w:hAnsi="Times New Roman" w:cs="Times New Roman"/>
        </w:rPr>
        <w:t>Source : Enquête PAPA, 2018</w:t>
      </w:r>
    </w:p>
    <w:tbl>
      <w:tblPr>
        <w:tblW w:w="501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04"/>
        <w:gridCol w:w="4680"/>
      </w:tblGrid>
      <w:tr w:rsidR="009B6AC1" w:rsidRPr="009B6AC1" w:rsidTr="009B6AC1">
        <w:trPr>
          <w:trHeight w:val="199"/>
        </w:trPr>
        <w:tc>
          <w:tcPr>
            <w:tcW w:w="2424" w:type="pct"/>
            <w:shd w:val="clear" w:color="auto" w:fill="auto"/>
            <w:noWrap/>
            <w:hideMark/>
          </w:tcPr>
          <w:p w:rsidR="009B6AC1" w:rsidRPr="009B6AC1" w:rsidRDefault="009B6AC1" w:rsidP="005E4B95">
            <w:pPr>
              <w:spacing w:after="0" w:line="240" w:lineRule="auto"/>
              <w:rPr>
                <w:rFonts w:ascii="Times New Roman" w:eastAsia="Times New Roman" w:hAnsi="Times New Roman" w:cs="Times New Roman"/>
                <w:b/>
                <w:bCs/>
                <w:sz w:val="20"/>
                <w:szCs w:val="24"/>
                <w:lang w:eastAsia="fr-FR"/>
              </w:rPr>
            </w:pPr>
            <w:r w:rsidRPr="009B6AC1">
              <w:rPr>
                <w:rFonts w:ascii="Times New Roman" w:eastAsia="Times New Roman" w:hAnsi="Times New Roman" w:cs="Times New Roman"/>
                <w:b/>
                <w:bCs/>
                <w:color w:val="000000"/>
                <w:sz w:val="20"/>
                <w:lang w:eastAsia="fr-FR"/>
              </w:rPr>
              <w:t>Prix de vente moyens (N=87)</w:t>
            </w:r>
          </w:p>
        </w:tc>
        <w:tc>
          <w:tcPr>
            <w:tcW w:w="2576" w:type="pct"/>
            <w:shd w:val="clear" w:color="auto" w:fill="auto"/>
            <w:noWrap/>
            <w:hideMark/>
          </w:tcPr>
          <w:p w:rsidR="009B6AC1" w:rsidRPr="009B6AC1" w:rsidRDefault="009B6AC1" w:rsidP="005E4B95">
            <w:pPr>
              <w:spacing w:after="0" w:line="240" w:lineRule="auto"/>
              <w:rPr>
                <w:rFonts w:ascii="Times New Roman" w:eastAsia="Times New Roman" w:hAnsi="Times New Roman" w:cs="Times New Roman"/>
                <w:b/>
                <w:bCs/>
                <w:color w:val="000000"/>
                <w:sz w:val="20"/>
                <w:lang w:eastAsia="fr-FR"/>
              </w:rPr>
            </w:pPr>
            <w:r w:rsidRPr="009B6AC1">
              <w:rPr>
                <w:rFonts w:ascii="Times New Roman" w:eastAsia="Times New Roman" w:hAnsi="Times New Roman" w:cs="Times New Roman"/>
                <w:b/>
                <w:bCs/>
                <w:color w:val="000000"/>
                <w:sz w:val="20"/>
                <w:lang w:eastAsia="fr-FR"/>
              </w:rPr>
              <w:t xml:space="preserve">FCFA/kg </w:t>
            </w:r>
          </w:p>
        </w:tc>
      </w:tr>
      <w:tr w:rsidR="009B6AC1" w:rsidRPr="009B6AC1" w:rsidTr="009B6AC1">
        <w:trPr>
          <w:trHeight w:val="199"/>
        </w:trPr>
        <w:tc>
          <w:tcPr>
            <w:tcW w:w="2424" w:type="pct"/>
            <w:shd w:val="clear" w:color="auto" w:fill="auto"/>
            <w:noWrap/>
            <w:hideMark/>
          </w:tcPr>
          <w:p w:rsidR="009B6AC1" w:rsidRPr="009B6AC1" w:rsidRDefault="009B6AC1" w:rsidP="005E4B95">
            <w:pPr>
              <w:spacing w:after="0" w:line="240" w:lineRule="auto"/>
              <w:rPr>
                <w:rFonts w:ascii="Times New Roman" w:eastAsia="Times New Roman" w:hAnsi="Times New Roman" w:cs="Times New Roman"/>
                <w:bCs/>
                <w:color w:val="000000"/>
                <w:sz w:val="20"/>
                <w:lang w:eastAsia="fr-FR"/>
              </w:rPr>
            </w:pPr>
            <w:r w:rsidRPr="009B6AC1">
              <w:rPr>
                <w:rFonts w:ascii="Times New Roman" w:eastAsia="Times New Roman" w:hAnsi="Times New Roman" w:cs="Times New Roman"/>
                <w:bCs/>
                <w:color w:val="000000"/>
                <w:sz w:val="20"/>
                <w:lang w:eastAsia="fr-FR"/>
              </w:rPr>
              <w:t>Mil</w:t>
            </w:r>
          </w:p>
        </w:tc>
        <w:tc>
          <w:tcPr>
            <w:tcW w:w="2576" w:type="pct"/>
            <w:shd w:val="clear" w:color="auto" w:fill="auto"/>
            <w:noWrap/>
            <w:hideMark/>
          </w:tcPr>
          <w:p w:rsidR="009B6AC1" w:rsidRPr="009B6AC1" w:rsidRDefault="009B6AC1" w:rsidP="005E4B95">
            <w:pPr>
              <w:spacing w:after="0" w:line="240" w:lineRule="auto"/>
              <w:jc w:val="right"/>
              <w:rPr>
                <w:rFonts w:ascii="Times New Roman" w:eastAsia="Times New Roman" w:hAnsi="Times New Roman" w:cs="Times New Roman"/>
                <w:color w:val="000000"/>
                <w:sz w:val="20"/>
                <w:lang w:eastAsia="fr-FR"/>
              </w:rPr>
            </w:pPr>
            <w:r w:rsidRPr="009B6AC1">
              <w:rPr>
                <w:rFonts w:ascii="Times New Roman" w:eastAsia="Times New Roman" w:hAnsi="Times New Roman" w:cs="Times New Roman"/>
                <w:color w:val="000000"/>
                <w:sz w:val="20"/>
                <w:lang w:eastAsia="fr-FR"/>
              </w:rPr>
              <w:t>205,74</w:t>
            </w:r>
          </w:p>
        </w:tc>
      </w:tr>
      <w:tr w:rsidR="009B6AC1" w:rsidRPr="009B6AC1" w:rsidTr="009B6AC1">
        <w:trPr>
          <w:trHeight w:val="199"/>
        </w:trPr>
        <w:tc>
          <w:tcPr>
            <w:tcW w:w="2424" w:type="pct"/>
            <w:shd w:val="clear" w:color="auto" w:fill="auto"/>
            <w:noWrap/>
            <w:hideMark/>
          </w:tcPr>
          <w:p w:rsidR="009B6AC1" w:rsidRPr="009B6AC1" w:rsidRDefault="009B6AC1" w:rsidP="005E4B95">
            <w:pPr>
              <w:spacing w:after="0" w:line="240" w:lineRule="auto"/>
              <w:rPr>
                <w:rFonts w:ascii="Times New Roman" w:eastAsia="Times New Roman" w:hAnsi="Times New Roman" w:cs="Times New Roman"/>
                <w:bCs/>
                <w:color w:val="000000"/>
                <w:sz w:val="20"/>
                <w:lang w:eastAsia="fr-FR"/>
              </w:rPr>
            </w:pPr>
            <w:r w:rsidRPr="009B6AC1">
              <w:rPr>
                <w:rFonts w:ascii="Times New Roman" w:eastAsia="Times New Roman" w:hAnsi="Times New Roman" w:cs="Times New Roman"/>
                <w:bCs/>
                <w:color w:val="000000"/>
                <w:sz w:val="20"/>
                <w:lang w:eastAsia="fr-FR"/>
              </w:rPr>
              <w:t>Sorgho</w:t>
            </w:r>
          </w:p>
        </w:tc>
        <w:tc>
          <w:tcPr>
            <w:tcW w:w="2576" w:type="pct"/>
            <w:shd w:val="clear" w:color="auto" w:fill="auto"/>
            <w:noWrap/>
            <w:hideMark/>
          </w:tcPr>
          <w:p w:rsidR="009B6AC1" w:rsidRPr="009B6AC1" w:rsidRDefault="009B6AC1" w:rsidP="005E4B95">
            <w:pPr>
              <w:spacing w:after="0" w:line="240" w:lineRule="auto"/>
              <w:jc w:val="right"/>
              <w:rPr>
                <w:rFonts w:ascii="Times New Roman" w:eastAsia="Times New Roman" w:hAnsi="Times New Roman" w:cs="Times New Roman"/>
                <w:color w:val="000000"/>
                <w:sz w:val="20"/>
                <w:lang w:eastAsia="fr-FR"/>
              </w:rPr>
            </w:pPr>
            <w:r w:rsidRPr="009B6AC1">
              <w:rPr>
                <w:rFonts w:ascii="Times New Roman" w:eastAsia="Times New Roman" w:hAnsi="Times New Roman" w:cs="Times New Roman"/>
                <w:color w:val="000000"/>
                <w:sz w:val="20"/>
                <w:lang w:eastAsia="fr-FR"/>
              </w:rPr>
              <w:t>239,11</w:t>
            </w:r>
          </w:p>
        </w:tc>
      </w:tr>
      <w:tr w:rsidR="009B6AC1" w:rsidRPr="009B6AC1" w:rsidTr="009B6AC1">
        <w:trPr>
          <w:trHeight w:val="24"/>
        </w:trPr>
        <w:tc>
          <w:tcPr>
            <w:tcW w:w="2424" w:type="pct"/>
            <w:shd w:val="clear" w:color="auto" w:fill="auto"/>
            <w:noWrap/>
            <w:hideMark/>
          </w:tcPr>
          <w:p w:rsidR="009B6AC1" w:rsidRPr="009B6AC1" w:rsidRDefault="009B6AC1" w:rsidP="005E4B95">
            <w:pPr>
              <w:spacing w:after="0" w:line="240" w:lineRule="auto"/>
              <w:rPr>
                <w:rFonts w:ascii="Times New Roman" w:eastAsia="Times New Roman" w:hAnsi="Times New Roman" w:cs="Times New Roman"/>
                <w:bCs/>
                <w:color w:val="000000"/>
                <w:sz w:val="20"/>
                <w:lang w:eastAsia="fr-FR"/>
              </w:rPr>
            </w:pPr>
            <w:r w:rsidRPr="009B6AC1">
              <w:rPr>
                <w:rFonts w:ascii="Times New Roman" w:eastAsia="Times New Roman" w:hAnsi="Times New Roman" w:cs="Times New Roman"/>
                <w:bCs/>
                <w:color w:val="000000"/>
                <w:sz w:val="20"/>
                <w:lang w:eastAsia="fr-FR"/>
              </w:rPr>
              <w:t>Mais</w:t>
            </w:r>
          </w:p>
        </w:tc>
        <w:tc>
          <w:tcPr>
            <w:tcW w:w="2576" w:type="pct"/>
            <w:shd w:val="clear" w:color="auto" w:fill="auto"/>
            <w:noWrap/>
            <w:hideMark/>
          </w:tcPr>
          <w:p w:rsidR="009B6AC1" w:rsidRPr="009B6AC1" w:rsidRDefault="009B6AC1" w:rsidP="005E4B95">
            <w:pPr>
              <w:spacing w:after="0" w:line="240" w:lineRule="auto"/>
              <w:jc w:val="right"/>
              <w:rPr>
                <w:rFonts w:ascii="Times New Roman" w:eastAsia="Times New Roman" w:hAnsi="Times New Roman" w:cs="Times New Roman"/>
                <w:color w:val="000000"/>
                <w:sz w:val="20"/>
                <w:lang w:eastAsia="fr-FR"/>
              </w:rPr>
            </w:pPr>
            <w:r w:rsidRPr="009B6AC1">
              <w:rPr>
                <w:rFonts w:ascii="Times New Roman" w:eastAsia="Times New Roman" w:hAnsi="Times New Roman" w:cs="Times New Roman"/>
                <w:color w:val="000000"/>
                <w:sz w:val="20"/>
                <w:lang w:eastAsia="fr-FR"/>
              </w:rPr>
              <w:t>197,71</w:t>
            </w:r>
          </w:p>
        </w:tc>
      </w:tr>
      <w:tr w:rsidR="009B6AC1" w:rsidRPr="009B6AC1" w:rsidTr="009B6AC1">
        <w:trPr>
          <w:trHeight w:val="199"/>
        </w:trPr>
        <w:tc>
          <w:tcPr>
            <w:tcW w:w="2424" w:type="pct"/>
            <w:shd w:val="clear" w:color="auto" w:fill="auto"/>
            <w:noWrap/>
            <w:hideMark/>
          </w:tcPr>
          <w:p w:rsidR="009B6AC1" w:rsidRPr="009B6AC1" w:rsidRDefault="009B6AC1" w:rsidP="005E4B95">
            <w:pPr>
              <w:spacing w:after="0" w:line="240" w:lineRule="auto"/>
              <w:rPr>
                <w:rFonts w:ascii="Times New Roman" w:eastAsia="Times New Roman" w:hAnsi="Times New Roman" w:cs="Times New Roman"/>
                <w:bCs/>
                <w:color w:val="000000"/>
                <w:sz w:val="20"/>
                <w:lang w:eastAsia="fr-FR"/>
              </w:rPr>
            </w:pPr>
            <w:r w:rsidRPr="009B6AC1">
              <w:rPr>
                <w:rFonts w:ascii="Times New Roman" w:eastAsia="Times New Roman" w:hAnsi="Times New Roman" w:cs="Times New Roman"/>
                <w:bCs/>
                <w:color w:val="000000"/>
                <w:sz w:val="20"/>
                <w:lang w:eastAsia="fr-FR"/>
              </w:rPr>
              <w:t>Fonio</w:t>
            </w:r>
          </w:p>
        </w:tc>
        <w:tc>
          <w:tcPr>
            <w:tcW w:w="2576" w:type="pct"/>
            <w:shd w:val="clear" w:color="auto" w:fill="auto"/>
            <w:noWrap/>
            <w:hideMark/>
          </w:tcPr>
          <w:p w:rsidR="009B6AC1" w:rsidRPr="009B6AC1" w:rsidRDefault="009B6AC1" w:rsidP="005E4B95">
            <w:pPr>
              <w:spacing w:after="0" w:line="240" w:lineRule="auto"/>
              <w:jc w:val="right"/>
              <w:rPr>
                <w:rFonts w:ascii="Times New Roman" w:eastAsia="Times New Roman" w:hAnsi="Times New Roman" w:cs="Times New Roman"/>
                <w:color w:val="000000"/>
                <w:sz w:val="20"/>
                <w:lang w:eastAsia="fr-FR"/>
              </w:rPr>
            </w:pPr>
            <w:r w:rsidRPr="009B6AC1">
              <w:rPr>
                <w:rFonts w:ascii="Times New Roman" w:eastAsia="Times New Roman" w:hAnsi="Times New Roman" w:cs="Times New Roman"/>
                <w:color w:val="000000"/>
                <w:sz w:val="20"/>
                <w:lang w:eastAsia="fr-FR"/>
              </w:rPr>
              <w:t>875,63</w:t>
            </w:r>
          </w:p>
        </w:tc>
      </w:tr>
    </w:tbl>
    <w:p w:rsidR="00AB1D5F" w:rsidRPr="00B423E0" w:rsidRDefault="00AB1D5F" w:rsidP="00AB1D5F">
      <w:pPr>
        <w:rPr>
          <w:rFonts w:ascii="Times New Roman" w:eastAsia="Calibri" w:hAnsi="Times New Roman" w:cs="Times New Roman"/>
        </w:rPr>
      </w:pPr>
    </w:p>
    <w:p w:rsidR="00AB1D5F" w:rsidRPr="009B6AC1" w:rsidRDefault="00AB1D5F" w:rsidP="00AB1D5F">
      <w:pPr>
        <w:spacing w:before="120" w:after="120" w:line="360" w:lineRule="auto"/>
        <w:jc w:val="both"/>
        <w:rPr>
          <w:rFonts w:ascii="Times New Roman" w:hAnsi="Times New Roman" w:cs="Times New Roman"/>
          <w:szCs w:val="24"/>
        </w:rPr>
      </w:pPr>
      <w:r w:rsidRPr="009B6AC1">
        <w:rPr>
          <w:rFonts w:ascii="Times New Roman" w:hAnsi="Times New Roman" w:cs="Times New Roman"/>
          <w:szCs w:val="24"/>
        </w:rPr>
        <w:t>Les quantités de céréales vendues par les grossistes rejoignent le classement des céréa</w:t>
      </w:r>
      <w:r w:rsidR="00974058">
        <w:rPr>
          <w:rFonts w:ascii="Times New Roman" w:hAnsi="Times New Roman" w:cs="Times New Roman"/>
          <w:szCs w:val="24"/>
        </w:rPr>
        <w:t>les les plus achetées (figure </w:t>
      </w:r>
      <w:r w:rsidRPr="009B6AC1">
        <w:rPr>
          <w:rFonts w:ascii="Times New Roman" w:hAnsi="Times New Roman" w:cs="Times New Roman"/>
          <w:szCs w:val="24"/>
        </w:rPr>
        <w:t xml:space="preserve">9). En effet, le riz importé est la céréale la plus vendue en termes de quantité avec un total de 1149,61 tonnes par an pour un grossiste, toutes catégories de riz confondues. La seule différence se situe sur la quantité totale vendue de riz local (463 tonnes) sur l’année 2017 qui dépasse le mil (212 tonnes). Ainsi, le mil est vendu par un nombre plus important de grossistes que le riz local qui en termes de quantité commercialisée sur l’année dépasse le mil. Après le mil, le maïs </w:t>
      </w:r>
      <w:proofErr w:type="gramStart"/>
      <w:r w:rsidRPr="009B6AC1">
        <w:rPr>
          <w:rFonts w:ascii="Times New Roman" w:hAnsi="Times New Roman" w:cs="Times New Roman"/>
          <w:szCs w:val="24"/>
        </w:rPr>
        <w:t>présente</w:t>
      </w:r>
      <w:proofErr w:type="gramEnd"/>
      <w:r w:rsidRPr="009B6AC1">
        <w:rPr>
          <w:rFonts w:ascii="Times New Roman" w:hAnsi="Times New Roman" w:cs="Times New Roman"/>
          <w:szCs w:val="24"/>
        </w:rPr>
        <w:t xml:space="preserve"> aussi une importante quantité vendue, soit 163,5 tonnes par an. La quantité totale de sorgho vendue sur l’année 2017 s’élève à 38,7 tonnes. Le fonio reste en dernière position sur les quantités de céréales vendues par les grossistes avec un total de 0,63 tonnes. </w:t>
      </w:r>
    </w:p>
    <w:p w:rsidR="00AB1D5F" w:rsidRPr="00B423E0" w:rsidRDefault="00AB1D5F" w:rsidP="00AB1D5F">
      <w:pPr>
        <w:keepNext/>
        <w:spacing w:before="120" w:after="120" w:line="360" w:lineRule="auto"/>
        <w:jc w:val="both"/>
        <w:rPr>
          <w:rFonts w:ascii="Times New Roman" w:hAnsi="Times New Roman" w:cs="Times New Roman"/>
        </w:rPr>
      </w:pPr>
      <w:r w:rsidRPr="00B423E0">
        <w:rPr>
          <w:rFonts w:ascii="Times New Roman" w:hAnsi="Times New Roman" w:cs="Times New Roman"/>
          <w:noProof/>
          <w:lang w:eastAsia="fr-FR"/>
        </w:rPr>
        <w:drawing>
          <wp:inline distT="0" distB="0" distL="0" distR="0" wp14:anchorId="453C5C72" wp14:editId="37B35E53">
            <wp:extent cx="5783580" cy="2689860"/>
            <wp:effectExtent l="0" t="0" r="7620" b="15240"/>
            <wp:docPr id="12" name="Graphiqu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1D5F" w:rsidRPr="009B6AC1" w:rsidRDefault="00AB1D5F" w:rsidP="00AB1D5F">
      <w:pPr>
        <w:spacing w:after="0" w:line="240" w:lineRule="auto"/>
        <w:rPr>
          <w:rFonts w:ascii="Times New Roman" w:hAnsi="Times New Roman" w:cs="Times New Roman"/>
          <w:iCs/>
        </w:rPr>
      </w:pPr>
      <w:bookmarkStart w:id="88" w:name="_Toc34828023"/>
      <w:r w:rsidRPr="009B6AC1">
        <w:rPr>
          <w:rFonts w:ascii="Times New Roman" w:hAnsi="Times New Roman" w:cs="Times New Roman"/>
          <w:b/>
          <w:iCs/>
        </w:rPr>
        <w:t xml:space="preserve">Figure </w:t>
      </w:r>
      <w:r w:rsidRPr="009B6AC1">
        <w:rPr>
          <w:rFonts w:ascii="Times New Roman" w:hAnsi="Times New Roman" w:cs="Times New Roman"/>
          <w:b/>
          <w:iCs/>
        </w:rPr>
        <w:fldChar w:fldCharType="begin"/>
      </w:r>
      <w:r w:rsidRPr="009B6AC1">
        <w:rPr>
          <w:rFonts w:ascii="Times New Roman" w:hAnsi="Times New Roman" w:cs="Times New Roman"/>
          <w:b/>
          <w:iCs/>
        </w:rPr>
        <w:instrText xml:space="preserve"> SEQ Figure \* ARABIC \s 1 </w:instrText>
      </w:r>
      <w:r w:rsidRPr="009B6AC1">
        <w:rPr>
          <w:rFonts w:ascii="Times New Roman" w:hAnsi="Times New Roman" w:cs="Times New Roman"/>
          <w:b/>
          <w:iCs/>
        </w:rPr>
        <w:fldChar w:fldCharType="separate"/>
      </w:r>
      <w:r w:rsidRPr="009B6AC1">
        <w:rPr>
          <w:rFonts w:ascii="Times New Roman" w:hAnsi="Times New Roman" w:cs="Times New Roman"/>
          <w:b/>
          <w:iCs/>
          <w:noProof/>
        </w:rPr>
        <w:t>9</w:t>
      </w:r>
      <w:r w:rsidRPr="009B6AC1">
        <w:rPr>
          <w:rFonts w:ascii="Times New Roman" w:hAnsi="Times New Roman" w:cs="Times New Roman"/>
          <w:b/>
          <w:iCs/>
        </w:rPr>
        <w:fldChar w:fldCharType="end"/>
      </w:r>
      <w:r w:rsidRPr="009B6AC1">
        <w:rPr>
          <w:rFonts w:ascii="Times New Roman" w:hAnsi="Times New Roman" w:cs="Times New Roman"/>
        </w:rPr>
        <w:t xml:space="preserve"> : </w:t>
      </w:r>
      <w:r w:rsidRPr="009B6AC1">
        <w:rPr>
          <w:rFonts w:ascii="Times New Roman" w:hAnsi="Times New Roman" w:cs="Times New Roman"/>
          <w:iCs/>
        </w:rPr>
        <w:t>Quantités totales de céréales sèches vendues par les grossistes en moyenne par an (en tonne)</w:t>
      </w:r>
      <w:bookmarkEnd w:id="88"/>
    </w:p>
    <w:p w:rsidR="00AB1D5F" w:rsidRPr="009B6AC1" w:rsidRDefault="00AB1D5F" w:rsidP="00AB1D5F">
      <w:pPr>
        <w:spacing w:after="0" w:line="240" w:lineRule="auto"/>
        <w:rPr>
          <w:rFonts w:ascii="Times New Roman" w:hAnsi="Times New Roman" w:cs="Times New Roman"/>
        </w:rPr>
      </w:pPr>
      <w:r w:rsidRPr="009B6AC1">
        <w:rPr>
          <w:rFonts w:ascii="Times New Roman" w:hAnsi="Times New Roman" w:cs="Times New Roman"/>
        </w:rPr>
        <w:t xml:space="preserve">Source : Données PAPA 2018 </w:t>
      </w:r>
    </w:p>
    <w:p w:rsidR="00AB1D5F" w:rsidRPr="009B6AC1" w:rsidRDefault="00AB1D5F" w:rsidP="00AB1D5F">
      <w:pPr>
        <w:spacing w:before="120" w:after="120" w:line="360" w:lineRule="auto"/>
        <w:jc w:val="both"/>
        <w:rPr>
          <w:rFonts w:ascii="Times New Roman" w:hAnsi="Times New Roman" w:cs="Times New Roman"/>
        </w:rPr>
      </w:pPr>
      <w:r w:rsidRPr="009B6AC1">
        <w:rPr>
          <w:rFonts w:ascii="Times New Roman" w:hAnsi="Times New Roman" w:cs="Times New Roman"/>
        </w:rPr>
        <w:t>Les ventes de céréales sèches, de l’année de démarrage à 2018, ont augmenté pour la majorité de</w:t>
      </w:r>
      <w:r w:rsidR="00974058">
        <w:rPr>
          <w:rFonts w:ascii="Times New Roman" w:hAnsi="Times New Roman" w:cs="Times New Roman"/>
        </w:rPr>
        <w:t xml:space="preserve">s grossistes selon le tableau </w:t>
      </w:r>
      <w:r w:rsidRPr="009B6AC1">
        <w:rPr>
          <w:rFonts w:ascii="Times New Roman" w:hAnsi="Times New Roman" w:cs="Times New Roman"/>
        </w:rPr>
        <w:t xml:space="preserve">17 suivant. En effet, cela concerne le fonio grain pour tous les grossistes qui le commercialisent. Les ventes en sorgho grain ont cependant connu la plus importante baisse et cela concerne 13% des ventes. Les ventes en mil grains sont restées stables pour 12,2% des commerçants de mil </w:t>
      </w:r>
      <w:proofErr w:type="gramStart"/>
      <w:r w:rsidRPr="009B6AC1">
        <w:rPr>
          <w:rFonts w:ascii="Times New Roman" w:hAnsi="Times New Roman" w:cs="Times New Roman"/>
        </w:rPr>
        <w:t>grain</w:t>
      </w:r>
      <w:proofErr w:type="gramEnd"/>
      <w:r w:rsidRPr="009B6AC1">
        <w:rPr>
          <w:rFonts w:ascii="Times New Roman" w:hAnsi="Times New Roman" w:cs="Times New Roman"/>
        </w:rPr>
        <w:t xml:space="preserve"> et ont baissé pour 6,1% d’entre eux. Pour le maïs grain, les ventes ont augmenté pour 81,3% des commerçants grossistes alors que 10,4% d’entre eux n’ont pas remarqué d’évolution dans les ventes </w:t>
      </w:r>
      <w:r w:rsidRPr="009B6AC1">
        <w:rPr>
          <w:rFonts w:ascii="Times New Roman" w:hAnsi="Times New Roman" w:cs="Times New Roman"/>
        </w:rPr>
        <w:lastRenderedPageBreak/>
        <w:t xml:space="preserve">de maïs grain. Pour toutes les catégories de riz blanc local, les ventes ont augmenté pour la grande majorité des grossistes. Il en est de même pour les différentes catégories de riz blanc importé. </w:t>
      </w:r>
    </w:p>
    <w:p w:rsidR="00AB1D5F" w:rsidRPr="009B6AC1" w:rsidRDefault="00AB1D5F" w:rsidP="00AB1D5F">
      <w:pPr>
        <w:spacing w:after="200" w:line="240" w:lineRule="auto"/>
        <w:rPr>
          <w:rFonts w:ascii="Times New Roman" w:hAnsi="Times New Roman" w:cs="Times New Roman"/>
        </w:rPr>
      </w:pPr>
      <w:bookmarkStart w:id="89" w:name="_Toc34828014"/>
      <w:r w:rsidRPr="009B6AC1">
        <w:rPr>
          <w:rFonts w:ascii="Times New Roman" w:eastAsia="Times New Roman" w:hAnsi="Times New Roman" w:cs="Times New Roman"/>
          <w:b/>
          <w:bCs/>
          <w:iCs/>
          <w:color w:val="000000"/>
          <w:lang w:eastAsia="fr-FR"/>
        </w:rPr>
        <w:t xml:space="preserve">Tableau </w:t>
      </w:r>
      <w:r w:rsidRPr="009B6AC1">
        <w:rPr>
          <w:rFonts w:ascii="Times New Roman" w:eastAsia="Times New Roman" w:hAnsi="Times New Roman" w:cs="Times New Roman"/>
          <w:b/>
          <w:bCs/>
          <w:iCs/>
          <w:color w:val="000000"/>
          <w:lang w:eastAsia="fr-FR"/>
        </w:rPr>
        <w:fldChar w:fldCharType="begin"/>
      </w:r>
      <w:r w:rsidRPr="009B6AC1">
        <w:rPr>
          <w:rFonts w:ascii="Times New Roman" w:eastAsia="Times New Roman" w:hAnsi="Times New Roman" w:cs="Times New Roman"/>
          <w:b/>
          <w:bCs/>
          <w:iCs/>
          <w:color w:val="000000"/>
          <w:lang w:eastAsia="fr-FR"/>
        </w:rPr>
        <w:instrText xml:space="preserve"> SEQ Tableau \* ARABIC \s 1 </w:instrText>
      </w:r>
      <w:r w:rsidRPr="009B6AC1">
        <w:rPr>
          <w:rFonts w:ascii="Times New Roman" w:eastAsia="Times New Roman" w:hAnsi="Times New Roman" w:cs="Times New Roman"/>
          <w:b/>
          <w:bCs/>
          <w:iCs/>
          <w:color w:val="000000"/>
          <w:lang w:eastAsia="fr-FR"/>
        </w:rPr>
        <w:fldChar w:fldCharType="separate"/>
      </w:r>
      <w:r w:rsidRPr="009B6AC1">
        <w:rPr>
          <w:rFonts w:ascii="Times New Roman" w:eastAsia="Times New Roman" w:hAnsi="Times New Roman" w:cs="Times New Roman"/>
          <w:b/>
          <w:bCs/>
          <w:iCs/>
          <w:noProof/>
          <w:color w:val="000000"/>
          <w:lang w:eastAsia="fr-FR"/>
        </w:rPr>
        <w:t>19</w:t>
      </w:r>
      <w:r w:rsidRPr="009B6AC1">
        <w:rPr>
          <w:rFonts w:ascii="Times New Roman" w:eastAsia="Times New Roman" w:hAnsi="Times New Roman" w:cs="Times New Roman"/>
          <w:b/>
          <w:bCs/>
          <w:iCs/>
          <w:color w:val="000000"/>
          <w:lang w:eastAsia="fr-FR"/>
        </w:rPr>
        <w:fldChar w:fldCharType="end"/>
      </w:r>
      <w:r w:rsidRPr="009B6AC1">
        <w:rPr>
          <w:rFonts w:ascii="Times New Roman" w:hAnsi="Times New Roman" w:cs="Times New Roman"/>
        </w:rPr>
        <w:t xml:space="preserve"> : </w:t>
      </w:r>
      <w:r w:rsidRPr="009B6AC1">
        <w:rPr>
          <w:rFonts w:ascii="Times New Roman" w:eastAsia="Times New Roman" w:hAnsi="Times New Roman" w:cs="Times New Roman"/>
          <w:bCs/>
          <w:iCs/>
          <w:color w:val="000000"/>
          <w:lang w:eastAsia="fr-FR"/>
        </w:rPr>
        <w:t>Perception sur l'évolution des ventes par rapport au démarrage</w:t>
      </w:r>
      <w:bookmarkEnd w:id="89"/>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199"/>
        <w:gridCol w:w="1812"/>
        <w:gridCol w:w="1849"/>
        <w:gridCol w:w="2202"/>
      </w:tblGrid>
      <w:tr w:rsidR="00AB1D5F" w:rsidRPr="009B6AC1" w:rsidTr="00AB1D5F">
        <w:trPr>
          <w:trHeight w:val="63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Produits (N=87)</w:t>
            </w:r>
          </w:p>
        </w:tc>
        <w:tc>
          <w:tcPr>
            <w:tcW w:w="1000"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 xml:space="preserve">Elles sont restées stables </w:t>
            </w:r>
          </w:p>
        </w:tc>
        <w:tc>
          <w:tcPr>
            <w:tcW w:w="1020"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Elles ont augmenté</w:t>
            </w:r>
          </w:p>
        </w:tc>
        <w:tc>
          <w:tcPr>
            <w:tcW w:w="1215" w:type="pct"/>
            <w:shd w:val="clear" w:color="auto" w:fill="auto"/>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
                <w:bCs/>
                <w:color w:val="000000"/>
                <w:sz w:val="20"/>
                <w:szCs w:val="20"/>
                <w:lang w:eastAsia="fr-FR"/>
              </w:rPr>
              <w:t>Elles ont baissé</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 xml:space="preserve">Mil </w:t>
            </w:r>
            <w:proofErr w:type="gramStart"/>
            <w:r w:rsidRPr="009B6AC1">
              <w:rPr>
                <w:rFonts w:ascii="Times New Roman" w:eastAsia="Times New Roman" w:hAnsi="Times New Roman" w:cs="Times New Roman"/>
                <w:bCs/>
                <w:color w:val="000000"/>
                <w:sz w:val="20"/>
                <w:szCs w:val="20"/>
                <w:lang w:eastAsia="fr-FR"/>
              </w:rPr>
              <w:t>grain</w:t>
            </w:r>
            <w:proofErr w:type="gramEnd"/>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12,2</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81,6</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6,1</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Sorgho grain</w:t>
            </w:r>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0,0</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87,0</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13,0</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Mais grain</w:t>
            </w:r>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10,4</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81,3</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8,3</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Fonio grain</w:t>
            </w:r>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0,0</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100,0</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0,0</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Riz blanc entier ordinaire local</w:t>
            </w:r>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2,7</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91,9</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5,4</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Riz blanc entier aromatique local</w:t>
            </w:r>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0,0</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100,0</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0,0</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Riz blanc brise ordinaire local</w:t>
            </w:r>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9,4</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84,4</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6,3</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Riz blanc brise aromatique local</w:t>
            </w:r>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25,0</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75,0</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0,0</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Riz blanc entier ordinaire importe</w:t>
            </w:r>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6,5</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87,1</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6,5</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Riz blanc entier parfume importe</w:t>
            </w:r>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12,9</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80,6</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6,5</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Riz blanc brise ordinaire importe</w:t>
            </w:r>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14,9</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80,9</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4,3</w:t>
            </w:r>
          </w:p>
        </w:tc>
      </w:tr>
      <w:tr w:rsidR="00AB1D5F" w:rsidRPr="009B6AC1" w:rsidTr="00AB1D5F">
        <w:trPr>
          <w:trHeight w:val="300"/>
        </w:trPr>
        <w:tc>
          <w:tcPr>
            <w:tcW w:w="1765" w:type="pct"/>
            <w:shd w:val="clear" w:color="auto" w:fill="auto"/>
            <w:noWrap/>
            <w:hideMark/>
          </w:tcPr>
          <w:p w:rsidR="00AB1D5F" w:rsidRPr="009B6AC1" w:rsidRDefault="00AB1D5F" w:rsidP="00AB1D5F">
            <w:pPr>
              <w:spacing w:after="0" w:line="240" w:lineRule="auto"/>
              <w:rPr>
                <w:rFonts w:ascii="Times New Roman" w:eastAsia="Times New Roman" w:hAnsi="Times New Roman" w:cs="Times New Roman"/>
                <w:b/>
                <w:bCs/>
                <w:color w:val="000000"/>
                <w:sz w:val="20"/>
                <w:szCs w:val="20"/>
                <w:lang w:eastAsia="fr-FR"/>
              </w:rPr>
            </w:pPr>
            <w:r w:rsidRPr="009B6AC1">
              <w:rPr>
                <w:rFonts w:ascii="Times New Roman" w:eastAsia="Times New Roman" w:hAnsi="Times New Roman" w:cs="Times New Roman"/>
                <w:bCs/>
                <w:color w:val="000000"/>
                <w:sz w:val="20"/>
                <w:szCs w:val="20"/>
                <w:lang w:eastAsia="fr-FR"/>
              </w:rPr>
              <w:t>Riz blanc brise parfume importe</w:t>
            </w:r>
          </w:p>
        </w:tc>
        <w:tc>
          <w:tcPr>
            <w:tcW w:w="100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13,8</w:t>
            </w:r>
          </w:p>
        </w:tc>
        <w:tc>
          <w:tcPr>
            <w:tcW w:w="1020"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79,3</w:t>
            </w:r>
          </w:p>
        </w:tc>
        <w:tc>
          <w:tcPr>
            <w:tcW w:w="1215" w:type="pct"/>
            <w:shd w:val="clear" w:color="auto" w:fill="auto"/>
            <w:noWrap/>
            <w:hideMark/>
          </w:tcPr>
          <w:p w:rsidR="00AB1D5F" w:rsidRPr="009B6AC1" w:rsidRDefault="00AB1D5F" w:rsidP="00AB1D5F">
            <w:pPr>
              <w:spacing w:after="0" w:line="240" w:lineRule="auto"/>
              <w:jc w:val="right"/>
              <w:rPr>
                <w:rFonts w:ascii="Times New Roman" w:eastAsia="Times New Roman" w:hAnsi="Times New Roman" w:cs="Times New Roman"/>
                <w:color w:val="000000"/>
                <w:sz w:val="20"/>
                <w:szCs w:val="20"/>
                <w:lang w:eastAsia="fr-FR"/>
              </w:rPr>
            </w:pPr>
            <w:r w:rsidRPr="009B6AC1">
              <w:rPr>
                <w:rFonts w:ascii="Times New Roman" w:eastAsia="Times New Roman" w:hAnsi="Times New Roman" w:cs="Times New Roman"/>
                <w:color w:val="000000"/>
                <w:sz w:val="20"/>
                <w:szCs w:val="20"/>
                <w:lang w:eastAsia="fr-FR"/>
              </w:rPr>
              <w:t>6,9</w:t>
            </w:r>
          </w:p>
        </w:tc>
      </w:tr>
    </w:tbl>
    <w:p w:rsidR="00AB1D5F" w:rsidRPr="00B423E0" w:rsidRDefault="00AB1D5F" w:rsidP="00AB1D5F">
      <w:pPr>
        <w:spacing w:line="360" w:lineRule="auto"/>
        <w:jc w:val="both"/>
        <w:rPr>
          <w:rFonts w:ascii="Times New Roman" w:hAnsi="Times New Roman" w:cs="Times New Roman"/>
        </w:rPr>
      </w:pPr>
      <w:r w:rsidRPr="00B423E0">
        <w:rPr>
          <w:rFonts w:ascii="Times New Roman" w:hAnsi="Times New Roman" w:cs="Times New Roman"/>
        </w:rPr>
        <w:t>Source : Enquête PAPA, 2018</w:t>
      </w:r>
    </w:p>
    <w:p w:rsidR="00AB1D5F" w:rsidRPr="009B6AC1" w:rsidRDefault="00AB1D5F" w:rsidP="00AB1D5F">
      <w:pPr>
        <w:spacing w:before="120" w:after="120" w:line="360" w:lineRule="auto"/>
        <w:jc w:val="both"/>
        <w:rPr>
          <w:rFonts w:ascii="Times New Roman" w:hAnsi="Times New Roman" w:cs="Times New Roman"/>
          <w:szCs w:val="24"/>
        </w:rPr>
      </w:pPr>
      <w:r w:rsidRPr="009B6AC1">
        <w:rPr>
          <w:rFonts w:ascii="Times New Roman" w:hAnsi="Times New Roman" w:cs="Times New Roman"/>
          <w:szCs w:val="24"/>
        </w:rPr>
        <w:t xml:space="preserve">L’expansion de l’activité par la multiplication des points de vente ou étals est très peu fréquente chez les grossistes de céréales sèches. En effet, de l’année de démarrage à 2018, la majorité de ces commerçants n’ont pas élargi leur activité à travers l’installation de nouveaux points de ventes. Le nombre d’étals ou de points de vente, entre l’année de démarrage des activités de commerce en gros des céréales sèches et 2018, n’a pas évolué pour la majorité des grossistes. </w:t>
      </w:r>
    </w:p>
    <w:p w:rsidR="00AB1D5F" w:rsidRPr="009B6AC1" w:rsidRDefault="00AB1D5F" w:rsidP="00AB1D5F">
      <w:pPr>
        <w:spacing w:before="120" w:after="120" w:line="360" w:lineRule="auto"/>
        <w:jc w:val="both"/>
        <w:rPr>
          <w:rFonts w:ascii="Times New Roman" w:hAnsi="Times New Roman" w:cs="Times New Roman"/>
          <w:szCs w:val="24"/>
        </w:rPr>
      </w:pPr>
      <w:r w:rsidRPr="009B6AC1">
        <w:rPr>
          <w:rFonts w:ascii="Times New Roman" w:hAnsi="Times New Roman" w:cs="Times New Roman"/>
          <w:szCs w:val="24"/>
        </w:rPr>
        <w:t xml:space="preserve">Dans une même zone urbaine donnée, le nombre de d’entreprises de vente en gros de céréales a généralement tendance à doubler entre 2005 et 2018. Ainsi pour un effectif moyen de deux (2) grossistes dans un quartier à l’année de démarrage, on en compte quatre (4) en 2018 selon l’analyse du tableau 1.20. Les données montrent également que ces entreprises installées dans la même localité s’échangent plus d’informations liées à leur activité que de matériels et services. Dans un même quartier, le nombre de concurrents a augmenté pour 97,7% des grossistes. Dans une même commune, cette augmentation est perçue par 96,55% des grossistes. </w:t>
      </w:r>
    </w:p>
    <w:p w:rsidR="009B6AC1" w:rsidRDefault="009B6AC1" w:rsidP="00AB1D5F">
      <w:pPr>
        <w:keepNext/>
        <w:spacing w:after="200" w:line="240" w:lineRule="auto"/>
        <w:rPr>
          <w:rFonts w:ascii="Times New Roman" w:hAnsi="Times New Roman" w:cs="Times New Roman"/>
          <w:b/>
          <w:iCs/>
          <w:szCs w:val="18"/>
        </w:rPr>
      </w:pPr>
      <w:bookmarkStart w:id="90" w:name="_Toc1484438"/>
      <w:bookmarkStart w:id="91" w:name="_Toc3549384"/>
      <w:bookmarkStart w:id="92" w:name="_Toc34828015"/>
    </w:p>
    <w:p w:rsidR="009B6AC1" w:rsidRDefault="009B6AC1" w:rsidP="00AB1D5F">
      <w:pPr>
        <w:keepNext/>
        <w:spacing w:after="200" w:line="240" w:lineRule="auto"/>
        <w:rPr>
          <w:rFonts w:ascii="Times New Roman" w:hAnsi="Times New Roman" w:cs="Times New Roman"/>
          <w:b/>
          <w:iCs/>
          <w:szCs w:val="18"/>
        </w:rPr>
      </w:pPr>
    </w:p>
    <w:p w:rsidR="009B6AC1" w:rsidRDefault="009B6AC1" w:rsidP="00AB1D5F">
      <w:pPr>
        <w:keepNext/>
        <w:spacing w:after="200" w:line="240" w:lineRule="auto"/>
        <w:rPr>
          <w:rFonts w:ascii="Times New Roman" w:hAnsi="Times New Roman" w:cs="Times New Roman"/>
          <w:b/>
          <w:iCs/>
          <w:szCs w:val="18"/>
        </w:rPr>
      </w:pPr>
    </w:p>
    <w:p w:rsidR="009B6AC1" w:rsidRDefault="009B6AC1" w:rsidP="00AB1D5F">
      <w:pPr>
        <w:keepNext/>
        <w:spacing w:after="200" w:line="240" w:lineRule="auto"/>
        <w:rPr>
          <w:rFonts w:ascii="Times New Roman" w:hAnsi="Times New Roman" w:cs="Times New Roman"/>
          <w:b/>
          <w:iCs/>
          <w:szCs w:val="18"/>
        </w:rPr>
      </w:pPr>
    </w:p>
    <w:p w:rsidR="009B6AC1" w:rsidRDefault="009B6AC1" w:rsidP="00AB1D5F">
      <w:pPr>
        <w:keepNext/>
        <w:spacing w:after="200" w:line="240" w:lineRule="auto"/>
        <w:rPr>
          <w:rFonts w:ascii="Times New Roman" w:hAnsi="Times New Roman" w:cs="Times New Roman"/>
          <w:b/>
          <w:iCs/>
          <w:szCs w:val="18"/>
        </w:rPr>
      </w:pPr>
    </w:p>
    <w:p w:rsidR="00AB1D5F" w:rsidRPr="009B6AC1" w:rsidRDefault="00AB1D5F" w:rsidP="00AB1D5F">
      <w:pPr>
        <w:keepNext/>
        <w:spacing w:after="200" w:line="240" w:lineRule="auto"/>
        <w:rPr>
          <w:rFonts w:ascii="Times New Roman" w:hAnsi="Times New Roman" w:cs="Times New Roman"/>
          <w:iCs/>
          <w:szCs w:val="18"/>
        </w:rPr>
      </w:pPr>
      <w:r w:rsidRPr="009B6AC1">
        <w:rPr>
          <w:rFonts w:ascii="Times New Roman" w:hAnsi="Times New Roman" w:cs="Times New Roman"/>
          <w:b/>
          <w:iCs/>
          <w:szCs w:val="18"/>
        </w:rPr>
        <w:t xml:space="preserve">Tableau </w:t>
      </w:r>
      <w:r w:rsidRPr="009B6AC1">
        <w:rPr>
          <w:rFonts w:ascii="Times New Roman" w:hAnsi="Times New Roman" w:cs="Times New Roman"/>
          <w:b/>
          <w:iCs/>
          <w:szCs w:val="18"/>
        </w:rPr>
        <w:fldChar w:fldCharType="begin"/>
      </w:r>
      <w:r w:rsidRPr="009B6AC1">
        <w:rPr>
          <w:rFonts w:ascii="Times New Roman" w:hAnsi="Times New Roman" w:cs="Times New Roman"/>
          <w:b/>
          <w:iCs/>
          <w:szCs w:val="18"/>
        </w:rPr>
        <w:instrText xml:space="preserve"> SEQ Tableau \* ARABIC \s 1 </w:instrText>
      </w:r>
      <w:r w:rsidRPr="009B6AC1">
        <w:rPr>
          <w:rFonts w:ascii="Times New Roman" w:hAnsi="Times New Roman" w:cs="Times New Roman"/>
          <w:b/>
          <w:iCs/>
          <w:szCs w:val="18"/>
        </w:rPr>
        <w:fldChar w:fldCharType="separate"/>
      </w:r>
      <w:r w:rsidRPr="009B6AC1">
        <w:rPr>
          <w:rFonts w:ascii="Times New Roman" w:hAnsi="Times New Roman" w:cs="Times New Roman"/>
          <w:b/>
          <w:iCs/>
          <w:noProof/>
          <w:szCs w:val="18"/>
        </w:rPr>
        <w:t>20</w:t>
      </w:r>
      <w:r w:rsidRPr="009B6AC1">
        <w:rPr>
          <w:rFonts w:ascii="Times New Roman" w:hAnsi="Times New Roman" w:cs="Times New Roman"/>
          <w:b/>
          <w:iCs/>
          <w:szCs w:val="18"/>
        </w:rPr>
        <w:fldChar w:fldCharType="end"/>
      </w:r>
      <w:r w:rsidRPr="009B6AC1">
        <w:rPr>
          <w:rFonts w:ascii="Times New Roman" w:hAnsi="Times New Roman" w:cs="Times New Roman"/>
          <w:iCs/>
          <w:szCs w:val="18"/>
        </w:rPr>
        <w:t>: Compétitivité et concurrence entre les entreprises de commercialisation en gros</w:t>
      </w:r>
      <w:bookmarkEnd w:id="90"/>
      <w:bookmarkEnd w:id="91"/>
      <w:bookmarkEnd w:id="92"/>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749"/>
        <w:gridCol w:w="2623"/>
        <w:gridCol w:w="2690"/>
      </w:tblGrid>
      <w:tr w:rsidR="00AB1D5F" w:rsidRPr="009B6AC1" w:rsidTr="00AB1D5F">
        <w:trPr>
          <w:trHeight w:val="307"/>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
                <w:bCs/>
                <w:sz w:val="20"/>
                <w:szCs w:val="20"/>
              </w:rPr>
              <w:t> N= 87</w:t>
            </w:r>
          </w:p>
        </w:tc>
        <w:tc>
          <w:tcPr>
            <w:tcW w:w="1447"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
                <w:bCs/>
                <w:sz w:val="20"/>
                <w:szCs w:val="20"/>
              </w:rPr>
              <w:t>Année de démarrage</w:t>
            </w:r>
          </w:p>
        </w:tc>
        <w:tc>
          <w:tcPr>
            <w:tcW w:w="1484"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
                <w:bCs/>
                <w:sz w:val="20"/>
                <w:szCs w:val="20"/>
              </w:rPr>
              <w:t>2018</w:t>
            </w:r>
          </w:p>
        </w:tc>
      </w:tr>
      <w:tr w:rsidR="009B6AC1" w:rsidRPr="009B6AC1" w:rsidTr="00AB1D5F">
        <w:trPr>
          <w:trHeight w:val="307"/>
        </w:trPr>
        <w:tc>
          <w:tcPr>
            <w:tcW w:w="2069" w:type="pct"/>
            <w:shd w:val="clear" w:color="auto" w:fill="auto"/>
          </w:tcPr>
          <w:p w:rsidR="009B6AC1" w:rsidRPr="009B6AC1" w:rsidRDefault="009B6AC1" w:rsidP="00AB1D5F">
            <w:pPr>
              <w:spacing w:after="0" w:line="240" w:lineRule="auto"/>
              <w:rPr>
                <w:rFonts w:ascii="Times New Roman" w:hAnsi="Times New Roman" w:cs="Times New Roman"/>
                <w:b/>
                <w:bCs/>
                <w:sz w:val="20"/>
                <w:szCs w:val="20"/>
              </w:rPr>
            </w:pPr>
          </w:p>
        </w:tc>
        <w:tc>
          <w:tcPr>
            <w:tcW w:w="1447" w:type="pct"/>
            <w:shd w:val="clear" w:color="auto" w:fill="auto"/>
          </w:tcPr>
          <w:p w:rsidR="009B6AC1" w:rsidRPr="009B6AC1" w:rsidRDefault="009B6AC1" w:rsidP="00AB1D5F">
            <w:pPr>
              <w:spacing w:after="0" w:line="240" w:lineRule="auto"/>
              <w:rPr>
                <w:rFonts w:ascii="Times New Roman" w:hAnsi="Times New Roman" w:cs="Times New Roman"/>
                <w:b/>
                <w:bCs/>
                <w:sz w:val="20"/>
                <w:szCs w:val="20"/>
              </w:rPr>
            </w:pPr>
          </w:p>
        </w:tc>
        <w:tc>
          <w:tcPr>
            <w:tcW w:w="1484" w:type="pct"/>
            <w:shd w:val="clear" w:color="auto" w:fill="auto"/>
          </w:tcPr>
          <w:p w:rsidR="009B6AC1" w:rsidRPr="009B6AC1" w:rsidRDefault="009B6AC1" w:rsidP="00AB1D5F">
            <w:pPr>
              <w:spacing w:after="0" w:line="240" w:lineRule="auto"/>
              <w:rPr>
                <w:rFonts w:ascii="Times New Roman" w:hAnsi="Times New Roman" w:cs="Times New Roman"/>
                <w:b/>
                <w:bCs/>
                <w:sz w:val="20"/>
                <w:szCs w:val="20"/>
              </w:rPr>
            </w:pPr>
          </w:p>
        </w:tc>
      </w:tr>
      <w:tr w:rsidR="00AB1D5F" w:rsidRPr="009B6AC1" w:rsidTr="00AB1D5F">
        <w:trPr>
          <w:trHeight w:val="401"/>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Nombre d’entreprises évoluant dans le même secteur que le répondant </w:t>
            </w:r>
          </w:p>
        </w:tc>
        <w:tc>
          <w:tcPr>
            <w:tcW w:w="1447" w:type="pct"/>
            <w:shd w:val="clear" w:color="auto" w:fill="auto"/>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2</w:t>
            </w:r>
          </w:p>
        </w:tc>
        <w:tc>
          <w:tcPr>
            <w:tcW w:w="1484" w:type="pct"/>
            <w:shd w:val="clear" w:color="auto" w:fill="auto"/>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4</w:t>
            </w:r>
          </w:p>
        </w:tc>
      </w:tr>
      <w:tr w:rsidR="00AB1D5F" w:rsidRPr="009B6AC1" w:rsidTr="00AB1D5F">
        <w:trPr>
          <w:trHeight w:val="200"/>
        </w:trPr>
        <w:tc>
          <w:tcPr>
            <w:tcW w:w="5000" w:type="pct"/>
            <w:gridSpan w:val="3"/>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
                <w:bCs/>
                <w:sz w:val="20"/>
                <w:szCs w:val="20"/>
              </w:rPr>
              <w:t xml:space="preserve">Partage avec d'autres entreprises de la même localité </w:t>
            </w:r>
          </w:p>
        </w:tc>
      </w:tr>
      <w:tr w:rsidR="00AB1D5F" w:rsidRPr="009B6AC1" w:rsidTr="00AB1D5F">
        <w:trPr>
          <w:trHeight w:val="200"/>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des équipements %</w:t>
            </w:r>
          </w:p>
        </w:tc>
        <w:tc>
          <w:tcPr>
            <w:tcW w:w="1447"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6,9</w:t>
            </w:r>
          </w:p>
        </w:tc>
        <w:tc>
          <w:tcPr>
            <w:tcW w:w="1484"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6,9</w:t>
            </w:r>
          </w:p>
        </w:tc>
      </w:tr>
      <w:tr w:rsidR="00AB1D5F" w:rsidRPr="009B6AC1" w:rsidTr="00AB1D5F">
        <w:trPr>
          <w:trHeight w:val="200"/>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de matériels de transport %</w:t>
            </w:r>
          </w:p>
        </w:tc>
        <w:tc>
          <w:tcPr>
            <w:tcW w:w="1447"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5,75</w:t>
            </w:r>
          </w:p>
        </w:tc>
        <w:tc>
          <w:tcPr>
            <w:tcW w:w="1484"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5,75</w:t>
            </w:r>
          </w:p>
        </w:tc>
      </w:tr>
      <w:tr w:rsidR="00AB1D5F" w:rsidRPr="009B6AC1" w:rsidTr="00AB1D5F">
        <w:trPr>
          <w:trHeight w:val="200"/>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de la main d’œuvre %</w:t>
            </w:r>
          </w:p>
        </w:tc>
        <w:tc>
          <w:tcPr>
            <w:tcW w:w="1447"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2,3</w:t>
            </w:r>
          </w:p>
        </w:tc>
        <w:tc>
          <w:tcPr>
            <w:tcW w:w="1484"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6,9</w:t>
            </w:r>
          </w:p>
        </w:tc>
      </w:tr>
      <w:tr w:rsidR="00AB1D5F" w:rsidRPr="009B6AC1" w:rsidTr="00AB1D5F">
        <w:trPr>
          <w:trHeight w:val="401"/>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des informations sur les modalités d’achats (matière première, équipement…) %</w:t>
            </w:r>
          </w:p>
        </w:tc>
        <w:tc>
          <w:tcPr>
            <w:tcW w:w="1447"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18,39</w:t>
            </w:r>
          </w:p>
        </w:tc>
        <w:tc>
          <w:tcPr>
            <w:tcW w:w="1484"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19,54</w:t>
            </w:r>
          </w:p>
        </w:tc>
      </w:tr>
      <w:tr w:rsidR="00AB1D5F" w:rsidRPr="009B6AC1" w:rsidTr="00AB1D5F">
        <w:trPr>
          <w:trHeight w:val="200"/>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des informations sur les modalités de ventes (produits finis ou dérivés …)% </w:t>
            </w:r>
          </w:p>
        </w:tc>
        <w:tc>
          <w:tcPr>
            <w:tcW w:w="1447"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21,84</w:t>
            </w:r>
          </w:p>
        </w:tc>
        <w:tc>
          <w:tcPr>
            <w:tcW w:w="1484"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21,84</w:t>
            </w:r>
          </w:p>
        </w:tc>
      </w:tr>
      <w:tr w:rsidR="00AB1D5F" w:rsidRPr="009B6AC1" w:rsidTr="00AB1D5F">
        <w:trPr>
          <w:trHeight w:val="200"/>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des services de sous-traitances %</w:t>
            </w:r>
          </w:p>
        </w:tc>
        <w:tc>
          <w:tcPr>
            <w:tcW w:w="1447"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9,2</w:t>
            </w:r>
          </w:p>
        </w:tc>
        <w:tc>
          <w:tcPr>
            <w:tcW w:w="1484"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12,64</w:t>
            </w:r>
          </w:p>
        </w:tc>
      </w:tr>
      <w:tr w:rsidR="00AB1D5F" w:rsidRPr="009B6AC1" w:rsidTr="00AB1D5F">
        <w:trPr>
          <w:trHeight w:val="200"/>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des infos sur les technologies de transformation  %</w:t>
            </w:r>
          </w:p>
        </w:tc>
        <w:tc>
          <w:tcPr>
            <w:tcW w:w="1447" w:type="pct"/>
            <w:shd w:val="clear" w:color="auto" w:fill="auto"/>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0</w:t>
            </w:r>
          </w:p>
        </w:tc>
        <w:tc>
          <w:tcPr>
            <w:tcW w:w="1484" w:type="pct"/>
            <w:shd w:val="clear" w:color="auto" w:fill="auto"/>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0</w:t>
            </w:r>
          </w:p>
        </w:tc>
      </w:tr>
      <w:tr w:rsidR="00AB1D5F" w:rsidRPr="009B6AC1" w:rsidTr="00AB1D5F">
        <w:trPr>
          <w:trHeight w:val="401"/>
        </w:trPr>
        <w:tc>
          <w:tcPr>
            <w:tcW w:w="5000" w:type="pct"/>
            <w:gridSpan w:val="3"/>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
                <w:bCs/>
                <w:sz w:val="20"/>
                <w:szCs w:val="20"/>
              </w:rPr>
              <w:t xml:space="preserve">Evolution du nombre d'entreprises intervenant dans le même domaine dans un même quartier </w:t>
            </w:r>
          </w:p>
        </w:tc>
      </w:tr>
      <w:tr w:rsidR="00AB1D5F" w:rsidRPr="009B6AC1" w:rsidTr="00AB1D5F">
        <w:trPr>
          <w:trHeight w:val="200"/>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Reste stable</w:t>
            </w:r>
          </w:p>
        </w:tc>
        <w:tc>
          <w:tcPr>
            <w:tcW w:w="1447" w:type="pct"/>
            <w:shd w:val="clear" w:color="auto" w:fill="auto"/>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 </w:t>
            </w:r>
          </w:p>
        </w:tc>
        <w:tc>
          <w:tcPr>
            <w:tcW w:w="1484"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2,3</w:t>
            </w:r>
          </w:p>
        </w:tc>
      </w:tr>
      <w:tr w:rsidR="00AB1D5F" w:rsidRPr="009B6AC1" w:rsidTr="00AB1D5F">
        <w:trPr>
          <w:trHeight w:val="124"/>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Augmenté</w:t>
            </w:r>
          </w:p>
        </w:tc>
        <w:tc>
          <w:tcPr>
            <w:tcW w:w="1447" w:type="pct"/>
            <w:shd w:val="clear" w:color="auto" w:fill="auto"/>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 </w:t>
            </w:r>
          </w:p>
        </w:tc>
        <w:tc>
          <w:tcPr>
            <w:tcW w:w="1484"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97,7</w:t>
            </w:r>
          </w:p>
        </w:tc>
      </w:tr>
      <w:tr w:rsidR="00AB1D5F" w:rsidRPr="009B6AC1" w:rsidTr="00AB1D5F">
        <w:trPr>
          <w:trHeight w:val="200"/>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Baissé</w:t>
            </w:r>
          </w:p>
        </w:tc>
        <w:tc>
          <w:tcPr>
            <w:tcW w:w="1447" w:type="pct"/>
            <w:shd w:val="clear" w:color="auto" w:fill="auto"/>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 </w:t>
            </w:r>
          </w:p>
        </w:tc>
        <w:tc>
          <w:tcPr>
            <w:tcW w:w="1484" w:type="pct"/>
            <w:shd w:val="clear" w:color="auto" w:fill="auto"/>
            <w:noWrap/>
            <w:hideMark/>
          </w:tcPr>
          <w:p w:rsidR="00AB1D5F" w:rsidRPr="009B6AC1" w:rsidRDefault="00AB1D5F" w:rsidP="00AB1D5F">
            <w:pPr>
              <w:tabs>
                <w:tab w:val="left" w:pos="855"/>
              </w:tabs>
              <w:spacing w:after="0" w:line="240" w:lineRule="auto"/>
              <w:rPr>
                <w:rFonts w:ascii="Times New Roman" w:hAnsi="Times New Roman" w:cs="Times New Roman"/>
                <w:sz w:val="20"/>
                <w:szCs w:val="20"/>
              </w:rPr>
            </w:pPr>
            <w:r w:rsidRPr="009B6AC1">
              <w:rPr>
                <w:rFonts w:ascii="Times New Roman" w:hAnsi="Times New Roman" w:cs="Times New Roman"/>
                <w:sz w:val="20"/>
                <w:szCs w:val="20"/>
              </w:rPr>
              <w:t>0</w:t>
            </w:r>
          </w:p>
        </w:tc>
      </w:tr>
      <w:tr w:rsidR="00AB1D5F" w:rsidRPr="009B6AC1" w:rsidTr="00AB1D5F">
        <w:trPr>
          <w:trHeight w:val="241"/>
        </w:trPr>
        <w:tc>
          <w:tcPr>
            <w:tcW w:w="5000" w:type="pct"/>
            <w:gridSpan w:val="3"/>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
                <w:bCs/>
                <w:sz w:val="20"/>
                <w:szCs w:val="20"/>
              </w:rPr>
              <w:t>Evolution du nombre d'entreprises intervenant dans le même domaine dans la commune</w:t>
            </w:r>
          </w:p>
        </w:tc>
      </w:tr>
      <w:tr w:rsidR="00AB1D5F" w:rsidRPr="009B6AC1" w:rsidTr="00AB1D5F">
        <w:trPr>
          <w:trHeight w:val="200"/>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Reste stable</w:t>
            </w:r>
          </w:p>
        </w:tc>
        <w:tc>
          <w:tcPr>
            <w:tcW w:w="1447" w:type="pct"/>
            <w:shd w:val="clear" w:color="auto" w:fill="auto"/>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 </w:t>
            </w:r>
          </w:p>
        </w:tc>
        <w:tc>
          <w:tcPr>
            <w:tcW w:w="1484"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3,45</w:t>
            </w:r>
          </w:p>
        </w:tc>
      </w:tr>
      <w:tr w:rsidR="00AB1D5F" w:rsidRPr="009B6AC1" w:rsidTr="00AB1D5F">
        <w:trPr>
          <w:trHeight w:val="200"/>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Augmenté</w:t>
            </w:r>
          </w:p>
        </w:tc>
        <w:tc>
          <w:tcPr>
            <w:tcW w:w="1447" w:type="pct"/>
            <w:shd w:val="clear" w:color="auto" w:fill="auto"/>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 </w:t>
            </w:r>
          </w:p>
        </w:tc>
        <w:tc>
          <w:tcPr>
            <w:tcW w:w="1484"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96,55</w:t>
            </w:r>
          </w:p>
        </w:tc>
      </w:tr>
      <w:tr w:rsidR="00AB1D5F" w:rsidRPr="009B6AC1" w:rsidTr="00AB1D5F">
        <w:trPr>
          <w:trHeight w:val="200"/>
        </w:trPr>
        <w:tc>
          <w:tcPr>
            <w:tcW w:w="2069" w:type="pct"/>
            <w:shd w:val="clear" w:color="auto" w:fill="auto"/>
            <w:hideMark/>
          </w:tcPr>
          <w:p w:rsidR="00AB1D5F" w:rsidRPr="009B6AC1" w:rsidRDefault="00AB1D5F" w:rsidP="00AB1D5F">
            <w:pPr>
              <w:spacing w:after="0" w:line="240" w:lineRule="auto"/>
              <w:rPr>
                <w:rFonts w:ascii="Times New Roman" w:hAnsi="Times New Roman" w:cs="Times New Roman"/>
                <w:b/>
                <w:bCs/>
                <w:sz w:val="20"/>
                <w:szCs w:val="20"/>
              </w:rPr>
            </w:pPr>
            <w:r w:rsidRPr="009B6AC1">
              <w:rPr>
                <w:rFonts w:ascii="Times New Roman" w:hAnsi="Times New Roman" w:cs="Times New Roman"/>
                <w:bCs/>
                <w:sz w:val="20"/>
                <w:szCs w:val="20"/>
              </w:rPr>
              <w:t xml:space="preserve">    Baissé</w:t>
            </w:r>
          </w:p>
        </w:tc>
        <w:tc>
          <w:tcPr>
            <w:tcW w:w="1447" w:type="pct"/>
            <w:shd w:val="clear" w:color="auto" w:fill="auto"/>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 </w:t>
            </w:r>
          </w:p>
        </w:tc>
        <w:tc>
          <w:tcPr>
            <w:tcW w:w="1484" w:type="pct"/>
            <w:shd w:val="clear" w:color="auto" w:fill="auto"/>
            <w:noWrap/>
            <w:hideMark/>
          </w:tcPr>
          <w:p w:rsidR="00AB1D5F" w:rsidRPr="009B6AC1" w:rsidRDefault="00AB1D5F" w:rsidP="00AB1D5F">
            <w:pPr>
              <w:spacing w:after="0" w:line="240" w:lineRule="auto"/>
              <w:rPr>
                <w:rFonts w:ascii="Times New Roman" w:hAnsi="Times New Roman" w:cs="Times New Roman"/>
                <w:sz w:val="20"/>
                <w:szCs w:val="20"/>
              </w:rPr>
            </w:pPr>
            <w:r w:rsidRPr="009B6AC1">
              <w:rPr>
                <w:rFonts w:ascii="Times New Roman" w:hAnsi="Times New Roman" w:cs="Times New Roman"/>
                <w:sz w:val="20"/>
                <w:szCs w:val="20"/>
              </w:rPr>
              <w:t>100</w:t>
            </w:r>
          </w:p>
        </w:tc>
      </w:tr>
    </w:tbl>
    <w:p w:rsidR="00AB1D5F" w:rsidRPr="00B423E0" w:rsidRDefault="00AB1D5F" w:rsidP="00AB1D5F">
      <w:pPr>
        <w:rPr>
          <w:rFonts w:ascii="Times New Roman" w:hAnsi="Times New Roman" w:cs="Times New Roman"/>
        </w:rPr>
      </w:pPr>
      <w:r w:rsidRPr="00B423E0">
        <w:rPr>
          <w:rFonts w:ascii="Times New Roman" w:hAnsi="Times New Roman" w:cs="Times New Roman"/>
        </w:rPr>
        <w:t>Source : Enquêtes PAPA, 2018</w:t>
      </w:r>
    </w:p>
    <w:p w:rsidR="00AB1D5F" w:rsidRPr="00B423E0" w:rsidRDefault="00AB1D5F" w:rsidP="00AB1D5F">
      <w:pPr>
        <w:rPr>
          <w:rFonts w:ascii="Times New Roman" w:eastAsiaTheme="majorEastAsia" w:hAnsi="Times New Roman" w:cs="Times New Roman"/>
          <w:color w:val="44546A" w:themeColor="text2"/>
          <w:sz w:val="28"/>
          <w:szCs w:val="26"/>
        </w:rPr>
      </w:pPr>
      <w:r w:rsidRPr="00B423E0">
        <w:rPr>
          <w:rFonts w:ascii="Times New Roman" w:hAnsi="Times New Roman" w:cs="Times New Roman"/>
        </w:rPr>
        <w:br w:type="page"/>
      </w:r>
    </w:p>
    <w:p w:rsidR="00AB1D5F" w:rsidRPr="00B423E0" w:rsidRDefault="00AB1D5F" w:rsidP="00C811CC">
      <w:pPr>
        <w:pStyle w:val="Titre1"/>
        <w:numPr>
          <w:ilvl w:val="0"/>
          <w:numId w:val="0"/>
        </w:numPr>
        <w:rPr>
          <w:rFonts w:cs="Times New Roman"/>
        </w:rPr>
      </w:pPr>
      <w:bookmarkStart w:id="93" w:name="_Toc34730695"/>
      <w:r w:rsidRPr="00B423E0">
        <w:rPr>
          <w:rFonts w:cs="Times New Roman"/>
        </w:rPr>
        <w:lastRenderedPageBreak/>
        <w:t>Conclusion</w:t>
      </w:r>
      <w:bookmarkEnd w:id="93"/>
    </w:p>
    <w:p w:rsidR="00AB1D5F" w:rsidRPr="009B6AC1" w:rsidRDefault="00AB1D5F" w:rsidP="00AB1D5F">
      <w:pPr>
        <w:spacing w:before="120" w:after="120" w:line="360" w:lineRule="auto"/>
        <w:jc w:val="both"/>
        <w:rPr>
          <w:rFonts w:ascii="Times New Roman" w:hAnsi="Times New Roman" w:cs="Times New Roman"/>
          <w:szCs w:val="24"/>
        </w:rPr>
      </w:pPr>
      <w:r w:rsidRPr="009B6AC1">
        <w:rPr>
          <w:rFonts w:ascii="Times New Roman" w:hAnsi="Times New Roman" w:cs="Times New Roman"/>
          <w:szCs w:val="24"/>
        </w:rPr>
        <w:t xml:space="preserve">Nous avons dans ce chapitre analysé la structure, le comportement, puis la performance des entreprises de vente en gros de céréales sèches. Ce sont des vendeurs qui commercialisent une diversité de céréales et qui interagissent avec les autres segments de la chaine de valeur des céréales sèches. </w:t>
      </w:r>
    </w:p>
    <w:p w:rsidR="00AB1D5F" w:rsidRPr="009B6AC1" w:rsidRDefault="00AB1D5F" w:rsidP="00AB1D5F">
      <w:pPr>
        <w:spacing w:before="120" w:after="120" w:line="360" w:lineRule="auto"/>
        <w:jc w:val="both"/>
        <w:rPr>
          <w:rFonts w:ascii="Times New Roman" w:hAnsi="Times New Roman" w:cs="Times New Roman"/>
          <w:szCs w:val="24"/>
        </w:rPr>
      </w:pPr>
      <w:r w:rsidRPr="009B6AC1">
        <w:rPr>
          <w:rFonts w:ascii="Times New Roman" w:hAnsi="Times New Roman" w:cs="Times New Roman"/>
          <w:szCs w:val="24"/>
        </w:rPr>
        <w:t xml:space="preserve">L’analyse de la structure a caractérisé divers indicateurs décrivant la composition du segment des grossistes. Elle présente une caractérisation des entreprises de vente en gros de céréales sèches, ainsi que celle des propriétaires et gestionnaires de ces entreprises. Leur situation par rapport à l’accès aux infrastructures, services et formations ainsi que leur affiliation à des organisations sont des éléments abordés dans l’analyse de la structure du segment des grossistes. L’analyse du comportement de ce segment évoque également tous les aspects qualitatifs et quantitatifs liés au circuit d’approvisionnement des grossistes de céréales. Elle relate la diversité des sources d’approvisionnement ainsi que les distances parcourues pour se procurer, renseignant ainsi sur le circuit logistique des céréales en amont et en aval de ce segment. Cette analyse du comportement des grossistes montre aussi les différentes sources de financement de l’investissement pour la réalisation de leur activité, ainsi que leurs facteurs de production. Le comportement des entreprises de vente en gros de céréales sèches est aussi analysé à travers les relations contractuelles entre ces acteurs et les autres. Cette analyse est suivie d’une présentation de la performance de ce segment à travers un rapport sur les ventes, l’évolution de la concurrence et la vitesse d’expansion des entreprises. </w:t>
      </w:r>
    </w:p>
    <w:p w:rsidR="00AB1D5F" w:rsidRPr="009B6AC1" w:rsidRDefault="00AB1D5F" w:rsidP="00AB1D5F">
      <w:pPr>
        <w:pStyle w:val="RapportPAPA"/>
        <w:rPr>
          <w:sz w:val="22"/>
        </w:rPr>
      </w:pPr>
      <w:r w:rsidRPr="009B6AC1">
        <w:rPr>
          <w:sz w:val="22"/>
        </w:rPr>
        <w:t>En résumé le segment de la commercialisation de gros se positionne entre les producteurs et les consommateurs, entre les producteurs et les commerçants détaillants mais aussi, entre la production et la transformation. La structure de ce segment permet de tracer un schéma d’interaction entre différents acteurs. Cependant ces relations restent peu formalisées bien qu’elles soient bien définies et structurées. Les différentes stratégies de fonctionnement de grossiste dépendent des autres acteurs et surtout de la disponibilité des produits, d’où la vente de céréales importées. Afin de mieux expliciter les sources d’approvisionnement, le circuit du maïs importé devrait être étudié pour bien tracer l’origine de toutes les céréales sèches commercialisées par les grossistes urbains du Sénégal.</w:t>
      </w:r>
    </w:p>
    <w:p w:rsidR="00760B9F" w:rsidRPr="009B6AC1" w:rsidRDefault="00760B9F">
      <w:pPr>
        <w:rPr>
          <w:rFonts w:ascii="Times New Roman" w:eastAsiaTheme="majorEastAsia" w:hAnsi="Times New Roman" w:cs="Times New Roman"/>
          <w:color w:val="44546A" w:themeColor="text2"/>
          <w:sz w:val="32"/>
          <w:szCs w:val="32"/>
        </w:rPr>
      </w:pPr>
    </w:p>
    <w:sectPr w:rsidR="00760B9F" w:rsidRPr="009B6A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57C" w:rsidRDefault="006A157C">
      <w:pPr>
        <w:spacing w:after="0" w:line="240" w:lineRule="auto"/>
      </w:pPr>
      <w:r>
        <w:separator/>
      </w:r>
    </w:p>
  </w:endnote>
  <w:endnote w:type="continuationSeparator" w:id="0">
    <w:p w:rsidR="006A157C" w:rsidRDefault="006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97" w:rsidRDefault="005C55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6182"/>
      <w:docPartObj>
        <w:docPartGallery w:val="Page Numbers (Bottom of Page)"/>
        <w:docPartUnique/>
      </w:docPartObj>
    </w:sdtPr>
    <w:sdtEndPr/>
    <w:sdtContent>
      <w:p w:rsidR="004F1CB0" w:rsidRDefault="004F1CB0">
        <w:pPr>
          <w:pStyle w:val="Pieddepage"/>
          <w:jc w:val="center"/>
        </w:pPr>
        <w:r>
          <w:fldChar w:fldCharType="begin"/>
        </w:r>
        <w:r>
          <w:instrText>PAGE   \* MERGEFORMAT</w:instrText>
        </w:r>
        <w:r>
          <w:fldChar w:fldCharType="separate"/>
        </w:r>
        <w:r w:rsidR="005C5597">
          <w:rPr>
            <w:noProof/>
          </w:rPr>
          <w:t>21</w:t>
        </w:r>
        <w:r>
          <w:fldChar w:fldCharType="end"/>
        </w:r>
      </w:p>
    </w:sdtContent>
  </w:sdt>
  <w:p w:rsidR="004F1CB0" w:rsidRDefault="004F1CB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97" w:rsidRDefault="005C55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57C" w:rsidRDefault="006A157C">
      <w:pPr>
        <w:spacing w:after="0" w:line="240" w:lineRule="auto"/>
      </w:pPr>
      <w:r>
        <w:separator/>
      </w:r>
    </w:p>
  </w:footnote>
  <w:footnote w:type="continuationSeparator" w:id="0">
    <w:p w:rsidR="006A157C" w:rsidRDefault="006A1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97" w:rsidRDefault="005C559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15pt;height:202.4pt;z-index:-251657216;mso-position-horizontal:center;mso-position-horizontal-relative:margin;mso-position-vertical:center;mso-position-vertical-relative:margin" o:allowincell="f">
          <v:imagedata r:id="rId1" o:title="Captur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97" w:rsidRDefault="005C559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15pt;height:202.4pt;z-index:-251656192;mso-position-horizontal:center;mso-position-horizontal-relative:margin;mso-position-vertical:center;mso-position-vertical-relative:margin" o:allowincell="f">
          <v:imagedata r:id="rId1" o:title="Captur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97" w:rsidRDefault="005C559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15pt;height:202.4pt;z-index:-251658240;mso-position-horizontal:center;mso-position-horizontal-relative:margin;mso-position-vertical:center;mso-position-vertical-relative:margin" o:allowincell="f">
          <v:imagedata r:id="rId1" o:title="Captur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72B50"/>
    <w:multiLevelType w:val="hybridMultilevel"/>
    <w:tmpl w:val="9C7858DE"/>
    <w:lvl w:ilvl="0" w:tplc="C10C6AB8">
      <w:start w:val="5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9D4C50"/>
    <w:multiLevelType w:val="hybridMultilevel"/>
    <w:tmpl w:val="7320F502"/>
    <w:lvl w:ilvl="0" w:tplc="B87AC99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001E75"/>
    <w:multiLevelType w:val="multilevel"/>
    <w:tmpl w:val="0C184C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2905793"/>
    <w:multiLevelType w:val="multilevel"/>
    <w:tmpl w:val="A5ECDBE8"/>
    <w:lvl w:ilvl="0">
      <w:start w:val="3"/>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F144D96"/>
    <w:multiLevelType w:val="hybridMultilevel"/>
    <w:tmpl w:val="E8BE84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F1C0F82"/>
    <w:multiLevelType w:val="multilevel"/>
    <w:tmpl w:val="040C0029"/>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6">
    <w:nsid w:val="6A95266C"/>
    <w:multiLevelType w:val="hybridMultilevel"/>
    <w:tmpl w:val="49720910"/>
    <w:lvl w:ilvl="0" w:tplc="EC8435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8A7B2C"/>
    <w:multiLevelType w:val="hybridMultilevel"/>
    <w:tmpl w:val="E8BE84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9F06EB"/>
    <w:multiLevelType w:val="hybridMultilevel"/>
    <w:tmpl w:val="F12A6C4E"/>
    <w:lvl w:ilvl="0" w:tplc="A4E4697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5884501"/>
    <w:multiLevelType w:val="hybridMultilevel"/>
    <w:tmpl w:val="E8BE84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CAF1896"/>
    <w:multiLevelType w:val="multilevel"/>
    <w:tmpl w:val="DA4A006E"/>
    <w:lvl w:ilvl="0">
      <w:start w:val="1"/>
      <w:numFmt w:val="decimal"/>
      <w:lvlText w:val="%1."/>
      <w:lvlJc w:val="left"/>
      <w:pPr>
        <w:ind w:left="720" w:hanging="360"/>
      </w:pPr>
      <w:rPr>
        <w:rFonts w:ascii="Times-Roman" w:eastAsiaTheme="minorHAnsi" w:hAnsi="Times-Roman" w:cstheme="minorBidi"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0"/>
  </w:num>
  <w:num w:numId="3">
    <w:abstractNumId w:val="4"/>
  </w:num>
  <w:num w:numId="4">
    <w:abstractNumId w:val="7"/>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5F"/>
    <w:rsid w:val="000E38AF"/>
    <w:rsid w:val="00177659"/>
    <w:rsid w:val="002379DD"/>
    <w:rsid w:val="002A752C"/>
    <w:rsid w:val="002C0670"/>
    <w:rsid w:val="002D1D77"/>
    <w:rsid w:val="00385576"/>
    <w:rsid w:val="004B1ABD"/>
    <w:rsid w:val="004F1CB0"/>
    <w:rsid w:val="0055017B"/>
    <w:rsid w:val="005A61FF"/>
    <w:rsid w:val="005C03DF"/>
    <w:rsid w:val="005C5597"/>
    <w:rsid w:val="006A157C"/>
    <w:rsid w:val="006D7E0C"/>
    <w:rsid w:val="00760B9F"/>
    <w:rsid w:val="008703F2"/>
    <w:rsid w:val="008D2E32"/>
    <w:rsid w:val="00974058"/>
    <w:rsid w:val="00976A8A"/>
    <w:rsid w:val="009B6AC1"/>
    <w:rsid w:val="00A057E9"/>
    <w:rsid w:val="00A35AE6"/>
    <w:rsid w:val="00AB1D5F"/>
    <w:rsid w:val="00AE2BE8"/>
    <w:rsid w:val="00AE397B"/>
    <w:rsid w:val="00B423E0"/>
    <w:rsid w:val="00B57C97"/>
    <w:rsid w:val="00BB5FE5"/>
    <w:rsid w:val="00BC51F9"/>
    <w:rsid w:val="00C42941"/>
    <w:rsid w:val="00C811CC"/>
    <w:rsid w:val="00C91C0F"/>
    <w:rsid w:val="00E04115"/>
    <w:rsid w:val="00F34513"/>
    <w:rsid w:val="00FD2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5EBF153-F271-4AAF-9EDA-9EEC2A60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5F"/>
  </w:style>
  <w:style w:type="paragraph" w:styleId="Titre1">
    <w:name w:val="heading 1"/>
    <w:basedOn w:val="Normal"/>
    <w:next w:val="Normal"/>
    <w:link w:val="Titre1Car"/>
    <w:uiPriority w:val="9"/>
    <w:qFormat/>
    <w:rsid w:val="00AB1D5F"/>
    <w:pPr>
      <w:keepNext/>
      <w:keepLines/>
      <w:numPr>
        <w:numId w:val="1"/>
      </w:numPr>
      <w:spacing w:before="240" w:after="240"/>
      <w:outlineLvl w:val="0"/>
    </w:pPr>
    <w:rPr>
      <w:rFonts w:ascii="Times New Roman" w:eastAsiaTheme="majorEastAsia" w:hAnsi="Times New Roman" w:cstheme="majorBidi"/>
      <w:color w:val="44546A" w:themeColor="text2"/>
      <w:sz w:val="32"/>
      <w:szCs w:val="32"/>
    </w:rPr>
  </w:style>
  <w:style w:type="paragraph" w:styleId="Titre2">
    <w:name w:val="heading 2"/>
    <w:basedOn w:val="Normal"/>
    <w:next w:val="Normal"/>
    <w:link w:val="Titre2Car"/>
    <w:uiPriority w:val="9"/>
    <w:unhideWhenUsed/>
    <w:qFormat/>
    <w:rsid w:val="00AB1D5F"/>
    <w:pPr>
      <w:keepNext/>
      <w:keepLines/>
      <w:numPr>
        <w:ilvl w:val="1"/>
        <w:numId w:val="1"/>
      </w:numPr>
      <w:spacing w:before="240" w:after="240"/>
      <w:ind w:left="709"/>
      <w:outlineLvl w:val="1"/>
    </w:pPr>
    <w:rPr>
      <w:rFonts w:ascii="Times New Roman" w:eastAsiaTheme="majorEastAsia" w:hAnsi="Times New Roman" w:cstheme="majorBidi"/>
      <w:color w:val="44546A" w:themeColor="text2"/>
      <w:sz w:val="28"/>
      <w:szCs w:val="26"/>
    </w:rPr>
  </w:style>
  <w:style w:type="paragraph" w:styleId="Titre3">
    <w:name w:val="heading 3"/>
    <w:basedOn w:val="Normal"/>
    <w:next w:val="Normal"/>
    <w:link w:val="Titre3Car"/>
    <w:uiPriority w:val="9"/>
    <w:unhideWhenUsed/>
    <w:qFormat/>
    <w:rsid w:val="00AB1D5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AB1D5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B1D5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AB1D5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AB1D5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AB1D5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B1D5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1D5F"/>
    <w:rPr>
      <w:rFonts w:ascii="Times New Roman" w:eastAsiaTheme="majorEastAsia" w:hAnsi="Times New Roman" w:cstheme="majorBidi"/>
      <w:color w:val="44546A" w:themeColor="text2"/>
      <w:sz w:val="32"/>
      <w:szCs w:val="32"/>
    </w:rPr>
  </w:style>
  <w:style w:type="character" w:customStyle="1" w:styleId="Titre2Car">
    <w:name w:val="Titre 2 Car"/>
    <w:basedOn w:val="Policepardfaut"/>
    <w:link w:val="Titre2"/>
    <w:uiPriority w:val="9"/>
    <w:rsid w:val="00AB1D5F"/>
    <w:rPr>
      <w:rFonts w:ascii="Times New Roman" w:eastAsiaTheme="majorEastAsia" w:hAnsi="Times New Roman" w:cstheme="majorBidi"/>
      <w:color w:val="44546A" w:themeColor="text2"/>
      <w:sz w:val="28"/>
      <w:szCs w:val="26"/>
    </w:rPr>
  </w:style>
  <w:style w:type="character" w:customStyle="1" w:styleId="Titre3Car">
    <w:name w:val="Titre 3 Car"/>
    <w:basedOn w:val="Policepardfaut"/>
    <w:link w:val="Titre3"/>
    <w:uiPriority w:val="9"/>
    <w:rsid w:val="00AB1D5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AB1D5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AB1D5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AB1D5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AB1D5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AB1D5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B1D5F"/>
    <w:rPr>
      <w:rFonts w:asciiTheme="majorHAnsi" w:eastAsiaTheme="majorEastAsia" w:hAnsiTheme="majorHAnsi" w:cstheme="majorBidi"/>
      <w:i/>
      <w:iCs/>
      <w:color w:val="272727" w:themeColor="text1" w:themeTint="D8"/>
      <w:sz w:val="21"/>
      <w:szCs w:val="21"/>
    </w:rPr>
  </w:style>
  <w:style w:type="paragraph" w:customStyle="1" w:styleId="RapportPAPA">
    <w:name w:val="Rapport PAPA"/>
    <w:basedOn w:val="Normal"/>
    <w:qFormat/>
    <w:rsid w:val="00AB1D5F"/>
    <w:pPr>
      <w:spacing w:before="120" w:after="120" w:line="360" w:lineRule="auto"/>
      <w:jc w:val="both"/>
    </w:pPr>
    <w:rPr>
      <w:rFonts w:ascii="Times New Roman" w:eastAsia="Calibri" w:hAnsi="Times New Roman" w:cs="Times New Roman"/>
      <w:color w:val="000000"/>
      <w:sz w:val="24"/>
      <w:szCs w:val="24"/>
    </w:rPr>
  </w:style>
  <w:style w:type="character" w:styleId="Accentuation">
    <w:name w:val="Emphasis"/>
    <w:uiPriority w:val="20"/>
    <w:qFormat/>
    <w:rsid w:val="00AB1D5F"/>
    <w:rPr>
      <w:i/>
      <w:iCs/>
    </w:rPr>
  </w:style>
  <w:style w:type="character" w:customStyle="1" w:styleId="fontstyle01">
    <w:name w:val="fontstyle01"/>
    <w:basedOn w:val="Policepardfaut"/>
    <w:rsid w:val="00AB1D5F"/>
    <w:rPr>
      <w:rFonts w:ascii="Times-Roman" w:hAnsi="Times-Roman" w:hint="default"/>
      <w:b w:val="0"/>
      <w:bCs w:val="0"/>
      <w:i w:val="0"/>
      <w:iCs w:val="0"/>
      <w:color w:val="000000"/>
      <w:sz w:val="28"/>
      <w:szCs w:val="28"/>
    </w:rPr>
  </w:style>
  <w:style w:type="paragraph" w:customStyle="1" w:styleId="RapportPAPA0">
    <w:name w:val="Rapport_PAPA"/>
    <w:basedOn w:val="Normal"/>
    <w:qFormat/>
    <w:rsid w:val="00AB1D5F"/>
    <w:pPr>
      <w:spacing w:before="120" w:after="120" w:line="360" w:lineRule="auto"/>
      <w:jc w:val="both"/>
    </w:pPr>
    <w:rPr>
      <w:rFonts w:ascii="Times New Roman" w:hAnsi="Times New Roman" w:cs="Times New Roman"/>
      <w:sz w:val="24"/>
      <w:szCs w:val="24"/>
    </w:rPr>
  </w:style>
  <w:style w:type="paragraph" w:styleId="Paragraphedeliste">
    <w:name w:val="List Paragraph"/>
    <w:aliases w:val="List Tables,Bullets,Objectifs,Titre1,References,Liste 1,Numbered List Paragraph,ReferencesCxSpLast,List Paragraph (numbered (a)),Tiret lettres,List Paragraph,- List tir,liste 1,puce 1,Puces,List Bullet Mary,List Paragraph1,U 5,itens"/>
    <w:basedOn w:val="Normal"/>
    <w:link w:val="ParagraphedelisteCar"/>
    <w:uiPriority w:val="34"/>
    <w:qFormat/>
    <w:rsid w:val="00AB1D5F"/>
    <w:pPr>
      <w:spacing w:after="200" w:line="276" w:lineRule="auto"/>
      <w:ind w:left="720"/>
      <w:contextualSpacing/>
    </w:pPr>
  </w:style>
  <w:style w:type="paragraph" w:styleId="Lgende">
    <w:name w:val="caption"/>
    <w:basedOn w:val="Normal"/>
    <w:next w:val="Normal"/>
    <w:uiPriority w:val="35"/>
    <w:unhideWhenUsed/>
    <w:qFormat/>
    <w:rsid w:val="00AB1D5F"/>
    <w:pPr>
      <w:spacing w:after="120" w:line="240" w:lineRule="auto"/>
    </w:pPr>
    <w:rPr>
      <w:rFonts w:ascii="Times New Roman" w:hAnsi="Times New Roman"/>
      <w:iCs/>
      <w:sz w:val="24"/>
      <w:szCs w:val="18"/>
    </w:rPr>
  </w:style>
  <w:style w:type="table" w:styleId="TableauListe2-Accentuation6">
    <w:name w:val="List Table 2 Accent 6"/>
    <w:basedOn w:val="TableauNormal"/>
    <w:uiPriority w:val="47"/>
    <w:rsid w:val="00AB1D5F"/>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aragraphedelisteCar">
    <w:name w:val="Paragraphe de liste Car"/>
    <w:aliases w:val="List Tables Car,Bullets Car,Objectifs Car,Titre1 Car,References Car,Liste 1 Car,Numbered List Paragraph Car,ReferencesCxSpLast Car,List Paragraph (numbered (a)) Car,Tiret lettres Car,List Paragraph Car,- List tir Car,liste 1 Car"/>
    <w:link w:val="Paragraphedeliste"/>
    <w:uiPriority w:val="34"/>
    <w:locked/>
    <w:rsid w:val="00AB1D5F"/>
  </w:style>
  <w:style w:type="table" w:styleId="TableauGrille1Clair">
    <w:name w:val="Grid Table 1 Light"/>
    <w:basedOn w:val="TableauNormal"/>
    <w:uiPriority w:val="46"/>
    <w:rsid w:val="00AB1D5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utableau">
    <w:name w:val="Table Grid"/>
    <w:basedOn w:val="TableauNormal"/>
    <w:uiPriority w:val="39"/>
    <w:rsid w:val="00AB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1Clair1">
    <w:name w:val="Tableau Grille 1 Clair1"/>
    <w:basedOn w:val="TableauNormal"/>
    <w:next w:val="TableauGrille1Clair"/>
    <w:uiPriority w:val="46"/>
    <w:rsid w:val="00AB1D5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lledutableau6">
    <w:name w:val="Grille du tableau6"/>
    <w:basedOn w:val="TableauNormal"/>
    <w:next w:val="Grilledutableau"/>
    <w:uiPriority w:val="39"/>
    <w:rsid w:val="00AB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B1D5F"/>
    <w:pPr>
      <w:tabs>
        <w:tab w:val="center" w:pos="4536"/>
        <w:tab w:val="right" w:pos="9072"/>
      </w:tabs>
      <w:spacing w:after="0" w:line="240" w:lineRule="auto"/>
    </w:pPr>
  </w:style>
  <w:style w:type="character" w:customStyle="1" w:styleId="En-tteCar">
    <w:name w:val="En-tête Car"/>
    <w:basedOn w:val="Policepardfaut"/>
    <w:link w:val="En-tte"/>
    <w:uiPriority w:val="99"/>
    <w:rsid w:val="00AB1D5F"/>
  </w:style>
  <w:style w:type="paragraph" w:styleId="Pieddepage">
    <w:name w:val="footer"/>
    <w:basedOn w:val="Normal"/>
    <w:link w:val="PieddepageCar"/>
    <w:uiPriority w:val="99"/>
    <w:unhideWhenUsed/>
    <w:rsid w:val="00AB1D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D5F"/>
  </w:style>
  <w:style w:type="paragraph" w:styleId="Tabledesillustrations">
    <w:name w:val="table of figures"/>
    <w:basedOn w:val="Normal"/>
    <w:next w:val="Normal"/>
    <w:uiPriority w:val="99"/>
    <w:unhideWhenUsed/>
    <w:rsid w:val="00AB1D5F"/>
    <w:pPr>
      <w:spacing w:after="0"/>
    </w:pPr>
  </w:style>
  <w:style w:type="character" w:styleId="Lienhypertexte">
    <w:name w:val="Hyperlink"/>
    <w:basedOn w:val="Policepardfaut"/>
    <w:uiPriority w:val="99"/>
    <w:unhideWhenUsed/>
    <w:rsid w:val="00AB1D5F"/>
    <w:rPr>
      <w:color w:val="0563C1" w:themeColor="hyperlink"/>
      <w:u w:val="single"/>
    </w:rPr>
  </w:style>
  <w:style w:type="paragraph" w:styleId="TM1">
    <w:name w:val="toc 1"/>
    <w:basedOn w:val="Normal"/>
    <w:next w:val="Normal"/>
    <w:autoRedefine/>
    <w:uiPriority w:val="39"/>
    <w:unhideWhenUsed/>
    <w:rsid w:val="00AB1D5F"/>
    <w:pPr>
      <w:tabs>
        <w:tab w:val="right" w:leader="dot" w:pos="9062"/>
      </w:tabs>
      <w:spacing w:after="100"/>
    </w:pPr>
    <w:rPr>
      <w:rFonts w:ascii="Times New Roman" w:hAnsi="Times New Roman" w:cs="Times New Roman"/>
      <w:b/>
      <w:noProof/>
      <w:sz w:val="24"/>
      <w:szCs w:val="24"/>
    </w:rPr>
  </w:style>
  <w:style w:type="paragraph" w:styleId="TM2">
    <w:name w:val="toc 2"/>
    <w:basedOn w:val="Normal"/>
    <w:next w:val="Normal"/>
    <w:autoRedefine/>
    <w:uiPriority w:val="39"/>
    <w:unhideWhenUsed/>
    <w:rsid w:val="00AB1D5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iatou%20Ndiaye\Documents\ISRA\PAPA\cereales\commercialisation\Commercants_cereales_remplis_.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iatou%20Ndiaye\Documents\ISRA\PAPA\cereales\commercialisation\Commercants_cereales_remplis_.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iatou%20Ndiaye\Downloads\Commercants_cereales_remplis_24janv201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Diatou%20Ndiaye\Documents\ISRA\PAPA\cereales\commercialisation\Commercants_cereales_remplis_.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Diatou%20Ndiaye\Documents\ISRA\PAPA\cereales\commercialisation\Commercants_cereales_FIN_121218%20(Enregistr&#233;%20automatiquement).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Diatou%20Ndiaye\Documents\ISRA\PAPA\cereales\commercialisation\Commercants_cereales_FIN_121218%20(Enregistr&#233;%20automatiquement).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HP\Documents\Commercants_cereales_remplis_29janv201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Diatou%20Ndiaye\Documents\ISRA\PAPA\cereales\commercialisation\Commercants_cereales_remplis_%200602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 '!$F$50:$F$55</c:f>
              <c:strCache>
                <c:ptCount val="6"/>
                <c:pt idx="0">
                  <c:v>Mil %</c:v>
                </c:pt>
                <c:pt idx="1">
                  <c:v>Mais %</c:v>
                </c:pt>
                <c:pt idx="2">
                  <c:v>Sorgho %</c:v>
                </c:pt>
                <c:pt idx="3">
                  <c:v>Fonio %</c:v>
                </c:pt>
                <c:pt idx="4">
                  <c:v>Riz local %</c:v>
                </c:pt>
                <c:pt idx="5">
                  <c:v>Riz importé %</c:v>
                </c:pt>
              </c:strCache>
            </c:strRef>
          </c:cat>
          <c:val>
            <c:numRef>
              <c:f>'2.2 '!$G$50:$G$55</c:f>
              <c:numCache>
                <c:formatCode>0.00</c:formatCode>
                <c:ptCount val="6"/>
                <c:pt idx="0">
                  <c:v>64</c:v>
                </c:pt>
                <c:pt idx="1">
                  <c:v>54.3</c:v>
                </c:pt>
                <c:pt idx="2">
                  <c:v>21.8</c:v>
                </c:pt>
                <c:pt idx="3">
                  <c:v>3.3</c:v>
                </c:pt>
                <c:pt idx="4">
                  <c:v>50.17</c:v>
                </c:pt>
                <c:pt idx="5">
                  <c:v>84.9</c:v>
                </c:pt>
              </c:numCache>
            </c:numRef>
          </c:val>
          <c:extLst xmlns:c16r2="http://schemas.microsoft.com/office/drawing/2015/06/chart">
            <c:ext xmlns:c16="http://schemas.microsoft.com/office/drawing/2014/chart" uri="{C3380CC4-5D6E-409C-BE32-E72D297353CC}">
              <c16:uniqueId val="{00000000-580B-4F95-9D9E-6556CD45B610}"/>
            </c:ext>
          </c:extLst>
        </c:ser>
        <c:dLbls>
          <c:dLblPos val="outEnd"/>
          <c:showLegendKey val="0"/>
          <c:showVal val="1"/>
          <c:showCatName val="0"/>
          <c:showSerName val="0"/>
          <c:showPercent val="0"/>
          <c:showBubbleSize val="0"/>
        </c:dLbls>
        <c:gapWidth val="219"/>
        <c:overlap val="-27"/>
        <c:axId val="452488024"/>
        <c:axId val="524295808"/>
      </c:barChart>
      <c:catAx>
        <c:axId val="452488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Céréale</a:t>
                </a:r>
                <a:r>
                  <a:rPr lang="fr-FR" baseline="0"/>
                  <a:t> vendues</a:t>
                </a:r>
                <a:endParaRPr lang="fr-F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4295808"/>
        <c:crosses val="autoZero"/>
        <c:auto val="1"/>
        <c:lblAlgn val="ctr"/>
        <c:lblOffset val="100"/>
        <c:noMultiLvlLbl val="0"/>
      </c:catAx>
      <c:valAx>
        <c:axId val="524295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2488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8357-4983-B5CB-51E1D0BA46F8}"/>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8357-4983-B5CB-51E1D0BA46F8}"/>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8357-4983-B5CB-51E1D0BA46F8}"/>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8357-4983-B5CB-51E1D0BA46F8}"/>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xmlns:c16r2="http://schemas.microsoft.com/office/drawing/2015/06/chart">
              <c:ext xmlns:c16="http://schemas.microsoft.com/office/drawing/2014/chart" uri="{C3380CC4-5D6E-409C-BE32-E72D297353CC}">
                <c16:uniqueId val="{00000009-8357-4983-B5CB-51E1D0BA46F8}"/>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xmlns:c16r2="http://schemas.microsoft.com/office/drawing/2015/06/chart">
              <c:ext xmlns:c16="http://schemas.microsoft.com/office/drawing/2014/chart" uri="{C3380CC4-5D6E-409C-BE32-E72D297353CC}">
                <c16:uniqueId val="{0000000B-8357-4983-B5CB-51E1D0BA46F8}"/>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xmlns:c16r2="http://schemas.microsoft.com/office/drawing/2015/06/chart">
              <c:ext xmlns:c16="http://schemas.microsoft.com/office/drawing/2014/chart" uri="{C3380CC4-5D6E-409C-BE32-E72D297353CC}">
                <c16:uniqueId val="{0000000D-8357-4983-B5CB-51E1D0BA46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Feuil1!$A$1:$A$7</c:f>
              <c:strCache>
                <c:ptCount val="7"/>
                <c:pt idx="0">
                  <c:v>SUARL (%)</c:v>
                </c:pt>
                <c:pt idx="1">
                  <c:v>GIE (%)</c:v>
                </c:pt>
                <c:pt idx="2">
                  <c:v>SARL (%)</c:v>
                </c:pt>
                <c:pt idx="3">
                  <c:v>SA (%)</c:v>
                </c:pt>
                <c:pt idx="4">
                  <c:v>Association (%)</c:v>
                </c:pt>
                <c:pt idx="5">
                  <c:v>Entreprise individuelle</c:v>
                </c:pt>
                <c:pt idx="6">
                  <c:v>SAS (%)</c:v>
                </c:pt>
              </c:strCache>
            </c:strRef>
          </c:cat>
          <c:val>
            <c:numRef>
              <c:f>Feuil1!$B$1:$B$7</c:f>
              <c:numCache>
                <c:formatCode>General</c:formatCode>
                <c:ptCount val="7"/>
                <c:pt idx="0">
                  <c:v>1.45</c:v>
                </c:pt>
                <c:pt idx="1">
                  <c:v>2.9</c:v>
                </c:pt>
                <c:pt idx="2">
                  <c:v>2.9</c:v>
                </c:pt>
                <c:pt idx="3">
                  <c:v>8.7000000000000011</c:v>
                </c:pt>
                <c:pt idx="4">
                  <c:v>2.9</c:v>
                </c:pt>
                <c:pt idx="5">
                  <c:v>81.16</c:v>
                </c:pt>
                <c:pt idx="6">
                  <c:v>0</c:v>
                </c:pt>
              </c:numCache>
            </c:numRef>
          </c:val>
          <c:extLst xmlns:c16r2="http://schemas.microsoft.com/office/drawing/2015/06/chart">
            <c:ext xmlns:c16="http://schemas.microsoft.com/office/drawing/2014/chart" uri="{C3380CC4-5D6E-409C-BE32-E72D297353CC}">
              <c16:uniqueId val="{0000000E-8357-4983-B5CB-51E1D0BA46F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911-452D-92E1-7A3DAC3F864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911-452D-92E1-7A3DAC3F864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911-452D-92E1-7A3DAC3F864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911-452D-92E1-7A3DAC3F864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911-452D-92E1-7A3DAC3F864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D911-452D-92E1-7A3DAC3F86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'[Commercants_cereales_remplis_24janv2019.xlsx]2.5'!$E$52:$E$57</c:f>
              <c:strCache>
                <c:ptCount val="6"/>
                <c:pt idx="0">
                  <c:v>GIE</c:v>
                </c:pt>
                <c:pt idx="1">
                  <c:v>Association</c:v>
                </c:pt>
                <c:pt idx="2">
                  <c:v>Coopérative</c:v>
                </c:pt>
                <c:pt idx="3">
                  <c:v>GPF</c:v>
                </c:pt>
                <c:pt idx="4">
                  <c:v>Interprofession</c:v>
                </c:pt>
                <c:pt idx="5">
                  <c:v>Union</c:v>
                </c:pt>
              </c:strCache>
            </c:strRef>
          </c:cat>
          <c:val>
            <c:numRef>
              <c:f>'[Commercants_cereales_remplis_24janv2019.xlsx]2.5'!$F$52:$F$57</c:f>
              <c:numCache>
                <c:formatCode>General</c:formatCode>
                <c:ptCount val="6"/>
                <c:pt idx="0">
                  <c:v>0</c:v>
                </c:pt>
                <c:pt idx="1">
                  <c:v>54.55</c:v>
                </c:pt>
                <c:pt idx="2">
                  <c:v>4.55</c:v>
                </c:pt>
                <c:pt idx="3">
                  <c:v>0</c:v>
                </c:pt>
                <c:pt idx="4">
                  <c:v>0</c:v>
                </c:pt>
                <c:pt idx="5">
                  <c:v>40.909999999999997</c:v>
                </c:pt>
              </c:numCache>
            </c:numRef>
          </c:val>
          <c:extLst xmlns:c16r2="http://schemas.microsoft.com/office/drawing/2015/06/chart">
            <c:ext xmlns:c16="http://schemas.microsoft.com/office/drawing/2014/chart" uri="{C3380CC4-5D6E-409C-BE32-E72D297353CC}">
              <c16:uniqueId val="{0000000C-D911-452D-92E1-7A3DAC3F864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'[Approvisionnement total grossistes.xlsx]Feuil2'!$F$4:$F$15</c:f>
              <c:strCache>
                <c:ptCount val="12"/>
                <c:pt idx="0">
                  <c:v>Riz blanc brise ordinaire importe</c:v>
                </c:pt>
                <c:pt idx="1">
                  <c:v>Mil grain</c:v>
                </c:pt>
                <c:pt idx="2">
                  <c:v>Riz blanc entier aromatique importe</c:v>
                </c:pt>
                <c:pt idx="3">
                  <c:v>Riz blanc brise ordinaire local</c:v>
                </c:pt>
                <c:pt idx="4">
                  <c:v>Maïs grain</c:v>
                </c:pt>
                <c:pt idx="5">
                  <c:v>Riz blanc entier ordinaire local</c:v>
                </c:pt>
                <c:pt idx="6">
                  <c:v>Riz blanc brise parfume importe</c:v>
                </c:pt>
                <c:pt idx="7">
                  <c:v>Riz blanc entier ordinaire importe</c:v>
                </c:pt>
                <c:pt idx="8">
                  <c:v>Sorgho grain</c:v>
                </c:pt>
                <c:pt idx="9">
                  <c:v>Riz blanc entier aromatique local</c:v>
                </c:pt>
                <c:pt idx="10">
                  <c:v>Riz blanc brise aromatique local</c:v>
                </c:pt>
                <c:pt idx="11">
                  <c:v>Fonio grain</c:v>
                </c:pt>
              </c:strCache>
            </c:strRef>
          </c:cat>
          <c:val>
            <c:numRef>
              <c:f>'[Approvisionnement total grossistes.xlsx]Feuil2'!$G$4:$G$15</c:f>
              <c:numCache>
                <c:formatCode>0.00</c:formatCode>
                <c:ptCount val="12"/>
                <c:pt idx="0">
                  <c:v>617.66896551724142</c:v>
                </c:pt>
                <c:pt idx="1">
                  <c:v>535.01434482758634</c:v>
                </c:pt>
                <c:pt idx="2">
                  <c:v>361.48735632183912</c:v>
                </c:pt>
                <c:pt idx="3">
                  <c:v>266.91724137931038</c:v>
                </c:pt>
                <c:pt idx="4">
                  <c:v>202.46390804597701</c:v>
                </c:pt>
                <c:pt idx="5">
                  <c:v>187.89885057471261</c:v>
                </c:pt>
                <c:pt idx="6">
                  <c:v>126.6873563218391</c:v>
                </c:pt>
                <c:pt idx="7">
                  <c:v>89.117241379310343</c:v>
                </c:pt>
                <c:pt idx="8">
                  <c:v>56.62988505747127</c:v>
                </c:pt>
                <c:pt idx="9">
                  <c:v>55.278160919540241</c:v>
                </c:pt>
                <c:pt idx="10">
                  <c:v>2.7494252873563219</c:v>
                </c:pt>
                <c:pt idx="11">
                  <c:v>0.294252873563218</c:v>
                </c:pt>
              </c:numCache>
            </c:numRef>
          </c:val>
          <c:extLst xmlns:c16r2="http://schemas.microsoft.com/office/drawing/2015/06/chart">
            <c:ext xmlns:c16="http://schemas.microsoft.com/office/drawing/2014/chart" uri="{C3380CC4-5D6E-409C-BE32-E72D297353CC}">
              <c16:uniqueId val="{00000000-BEF6-4274-A89A-D3281C2D26CC}"/>
            </c:ext>
          </c:extLst>
        </c:ser>
        <c:dLbls>
          <c:dLblPos val="outEnd"/>
          <c:showLegendKey val="0"/>
          <c:showVal val="1"/>
          <c:showCatName val="0"/>
          <c:showSerName val="0"/>
          <c:showPercent val="0"/>
          <c:showBubbleSize val="0"/>
        </c:dLbls>
        <c:gapWidth val="219"/>
        <c:overlap val="-27"/>
        <c:axId val="593239952"/>
        <c:axId val="593239168"/>
      </c:barChart>
      <c:catAx>
        <c:axId val="593239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Céréales</a:t>
                </a:r>
                <a:r>
                  <a:rPr lang="fr-FR" baseline="0"/>
                  <a:t> achetées</a:t>
                </a:r>
                <a:endParaRPr lang="fr-F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93239168"/>
        <c:crosses val="autoZero"/>
        <c:auto val="1"/>
        <c:lblAlgn val="ctr"/>
        <c:lblOffset val="100"/>
        <c:noMultiLvlLbl val="0"/>
      </c:catAx>
      <c:valAx>
        <c:axId val="593239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Quantités totales achetées</a:t>
                </a:r>
                <a:r>
                  <a:rPr lang="fr-FR" baseline="0"/>
                  <a:t> sur l'année en tonne</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9323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489492180354701"/>
          <c:y val="9.9444829802857404E-2"/>
          <c:w val="0.813694094361746"/>
          <c:h val="0.3964593412513"/>
        </c:manualLayout>
      </c:layout>
      <c:barChart>
        <c:barDir val="col"/>
        <c:grouping val="clustered"/>
        <c:varyColors val="0"/>
        <c:ser>
          <c:idx val="0"/>
          <c:order val="0"/>
          <c:tx>
            <c:strRef>
              <c:f>Feuil2!$B$2</c:f>
              <c:strCache>
                <c:ptCount val="1"/>
                <c:pt idx="0">
                  <c:v>Semaine précédant l'enquete</c:v>
                </c:pt>
              </c:strCache>
            </c:strRef>
          </c:tx>
          <c:spPr>
            <a:solidFill>
              <a:schemeClr val="accent1"/>
            </a:solidFill>
            <a:ln>
              <a:noFill/>
            </a:ln>
            <a:effectLst/>
          </c:spPr>
          <c:invertIfNegative val="0"/>
          <c:cat>
            <c:strRef>
              <c:f>Feuil2!$A$3:$A$14</c:f>
              <c:strCache>
                <c:ptCount val="12"/>
                <c:pt idx="0">
                  <c:v>Mil grain</c:v>
                </c:pt>
                <c:pt idx="1">
                  <c:v>Sorgho grain</c:v>
                </c:pt>
                <c:pt idx="2">
                  <c:v>Maïs grain</c:v>
                </c:pt>
                <c:pt idx="3">
                  <c:v>Fonio grain</c:v>
                </c:pt>
                <c:pt idx="4">
                  <c:v>Riz blanc entier ordinaire local</c:v>
                </c:pt>
                <c:pt idx="5">
                  <c:v>Riz blanc entier aromatique local</c:v>
                </c:pt>
                <c:pt idx="6">
                  <c:v>Riz blanc brise ordinaire local</c:v>
                </c:pt>
                <c:pt idx="7">
                  <c:v>Riz blanc brise aromatique local</c:v>
                </c:pt>
                <c:pt idx="8">
                  <c:v>Riz blanc entier ordinaire importe</c:v>
                </c:pt>
                <c:pt idx="9">
                  <c:v>Riz blanc entier aromatique importe</c:v>
                </c:pt>
                <c:pt idx="10">
                  <c:v>Riz blanc brise ordinaire importe</c:v>
                </c:pt>
                <c:pt idx="11">
                  <c:v>Riz blanc brise parfume importe</c:v>
                </c:pt>
              </c:strCache>
            </c:strRef>
          </c:cat>
          <c:val>
            <c:numRef>
              <c:f>Feuil2!$B$3:$B$14</c:f>
              <c:numCache>
                <c:formatCode>0.00</c:formatCode>
                <c:ptCount val="12"/>
                <c:pt idx="0">
                  <c:v>9657.7931034482735</c:v>
                </c:pt>
                <c:pt idx="1">
                  <c:v>882.18390804597698</c:v>
                </c:pt>
                <c:pt idx="2">
                  <c:v>3771.8390804597698</c:v>
                </c:pt>
                <c:pt idx="3">
                  <c:v>5.7471264367816088</c:v>
                </c:pt>
                <c:pt idx="4">
                  <c:v>4361.4942528735628</c:v>
                </c:pt>
                <c:pt idx="5">
                  <c:v>1262.0689655172409</c:v>
                </c:pt>
                <c:pt idx="6">
                  <c:v>5691.379310344827</c:v>
                </c:pt>
                <c:pt idx="7">
                  <c:v>52.873563218390807</c:v>
                </c:pt>
                <c:pt idx="8">
                  <c:v>1827.011494252873</c:v>
                </c:pt>
                <c:pt idx="9">
                  <c:v>8064.9425287356325</c:v>
                </c:pt>
                <c:pt idx="10">
                  <c:v>12759.77011494253</c:v>
                </c:pt>
                <c:pt idx="11">
                  <c:v>2377.5862068965521</c:v>
                </c:pt>
              </c:numCache>
            </c:numRef>
          </c:val>
          <c:extLst xmlns:c16r2="http://schemas.microsoft.com/office/drawing/2015/06/chart">
            <c:ext xmlns:c16="http://schemas.microsoft.com/office/drawing/2014/chart" uri="{C3380CC4-5D6E-409C-BE32-E72D297353CC}">
              <c16:uniqueId val="{00000000-B354-4EB2-8EF9-4B01B12847B8}"/>
            </c:ext>
          </c:extLst>
        </c:ser>
        <c:ser>
          <c:idx val="1"/>
          <c:order val="1"/>
          <c:tx>
            <c:strRef>
              <c:f>Feuil2!$C$2</c:f>
              <c:strCache>
                <c:ptCount val="1"/>
                <c:pt idx="0">
                  <c:v>2017/2018 - Semaine typique en période de pointe </c:v>
                </c:pt>
              </c:strCache>
            </c:strRef>
          </c:tx>
          <c:spPr>
            <a:solidFill>
              <a:schemeClr val="accent2"/>
            </a:solidFill>
            <a:ln>
              <a:noFill/>
            </a:ln>
            <a:effectLst/>
          </c:spPr>
          <c:invertIfNegative val="0"/>
          <c:cat>
            <c:strRef>
              <c:f>Feuil2!$A$3:$A$14</c:f>
              <c:strCache>
                <c:ptCount val="12"/>
                <c:pt idx="0">
                  <c:v>Mil grain</c:v>
                </c:pt>
                <c:pt idx="1">
                  <c:v>Sorgho grain</c:v>
                </c:pt>
                <c:pt idx="2">
                  <c:v>Maïs grain</c:v>
                </c:pt>
                <c:pt idx="3">
                  <c:v>Fonio grain</c:v>
                </c:pt>
                <c:pt idx="4">
                  <c:v>Riz blanc entier ordinaire local</c:v>
                </c:pt>
                <c:pt idx="5">
                  <c:v>Riz blanc entier aromatique local</c:v>
                </c:pt>
                <c:pt idx="6">
                  <c:v>Riz blanc brise ordinaire local</c:v>
                </c:pt>
                <c:pt idx="7">
                  <c:v>Riz blanc brise aromatique local</c:v>
                </c:pt>
                <c:pt idx="8">
                  <c:v>Riz blanc entier ordinaire importe</c:v>
                </c:pt>
                <c:pt idx="9">
                  <c:v>Riz blanc entier aromatique importe</c:v>
                </c:pt>
                <c:pt idx="10">
                  <c:v>Riz blanc brise ordinaire importe</c:v>
                </c:pt>
                <c:pt idx="11">
                  <c:v>Riz blanc brise parfume importe</c:v>
                </c:pt>
              </c:strCache>
            </c:strRef>
          </c:cat>
          <c:val>
            <c:numRef>
              <c:f>Feuil2!$C$3:$C$14</c:f>
              <c:numCache>
                <c:formatCode>0.00</c:formatCode>
                <c:ptCount val="12"/>
                <c:pt idx="0">
                  <c:v>14710.91954022989</c:v>
                </c:pt>
                <c:pt idx="1">
                  <c:v>1537.9310344827591</c:v>
                </c:pt>
                <c:pt idx="2">
                  <c:v>4295.2298850574716</c:v>
                </c:pt>
                <c:pt idx="3">
                  <c:v>6.8965517241379306</c:v>
                </c:pt>
                <c:pt idx="4">
                  <c:v>2554.5977011494251</c:v>
                </c:pt>
                <c:pt idx="5">
                  <c:v>774.71264367816104</c:v>
                </c:pt>
                <c:pt idx="6">
                  <c:v>3421.2643678160921</c:v>
                </c:pt>
                <c:pt idx="7">
                  <c:v>52.873563218390807</c:v>
                </c:pt>
                <c:pt idx="8">
                  <c:v>1623.563218390804</c:v>
                </c:pt>
                <c:pt idx="9">
                  <c:v>4428.1609195402298</c:v>
                </c:pt>
                <c:pt idx="10">
                  <c:v>9354.5977011494251</c:v>
                </c:pt>
                <c:pt idx="11">
                  <c:v>2464.9425287356321</c:v>
                </c:pt>
              </c:numCache>
            </c:numRef>
          </c:val>
          <c:extLst xmlns:c16r2="http://schemas.microsoft.com/office/drawing/2015/06/chart">
            <c:ext xmlns:c16="http://schemas.microsoft.com/office/drawing/2014/chart" uri="{C3380CC4-5D6E-409C-BE32-E72D297353CC}">
              <c16:uniqueId val="{00000001-B354-4EB2-8EF9-4B01B12847B8}"/>
            </c:ext>
          </c:extLst>
        </c:ser>
        <c:ser>
          <c:idx val="2"/>
          <c:order val="2"/>
          <c:tx>
            <c:strRef>
              <c:f>Feuil2!$D$2</c:f>
              <c:strCache>
                <c:ptCount val="1"/>
                <c:pt idx="0">
                  <c:v>2017/2018 - Semaine typique en période creuse </c:v>
                </c:pt>
              </c:strCache>
            </c:strRef>
          </c:tx>
          <c:spPr>
            <a:solidFill>
              <a:schemeClr val="accent3"/>
            </a:solidFill>
            <a:ln>
              <a:noFill/>
            </a:ln>
            <a:effectLst/>
          </c:spPr>
          <c:invertIfNegative val="0"/>
          <c:cat>
            <c:strRef>
              <c:f>Feuil2!$A$3:$A$14</c:f>
              <c:strCache>
                <c:ptCount val="12"/>
                <c:pt idx="0">
                  <c:v>Mil grain</c:v>
                </c:pt>
                <c:pt idx="1">
                  <c:v>Sorgho grain</c:v>
                </c:pt>
                <c:pt idx="2">
                  <c:v>Maïs grain</c:v>
                </c:pt>
                <c:pt idx="3">
                  <c:v>Fonio grain</c:v>
                </c:pt>
                <c:pt idx="4">
                  <c:v>Riz blanc entier ordinaire local</c:v>
                </c:pt>
                <c:pt idx="5">
                  <c:v>Riz blanc entier aromatique local</c:v>
                </c:pt>
                <c:pt idx="6">
                  <c:v>Riz blanc brise ordinaire local</c:v>
                </c:pt>
                <c:pt idx="7">
                  <c:v>Riz blanc brise aromatique local</c:v>
                </c:pt>
                <c:pt idx="8">
                  <c:v>Riz blanc entier ordinaire importe</c:v>
                </c:pt>
                <c:pt idx="9">
                  <c:v>Riz blanc entier aromatique importe</c:v>
                </c:pt>
                <c:pt idx="10">
                  <c:v>Riz blanc brise ordinaire importe</c:v>
                </c:pt>
                <c:pt idx="11">
                  <c:v>Riz blanc brise parfume importe</c:v>
                </c:pt>
              </c:strCache>
            </c:strRef>
          </c:cat>
          <c:val>
            <c:numRef>
              <c:f>Feuil2!$D$3:$D$14</c:f>
              <c:numCache>
                <c:formatCode>0.00</c:formatCode>
                <c:ptCount val="12"/>
                <c:pt idx="0">
                  <c:v>7255.7471264367814</c:v>
                </c:pt>
                <c:pt idx="1">
                  <c:v>895.40229885057465</c:v>
                </c:pt>
                <c:pt idx="2">
                  <c:v>3669.5402298850581</c:v>
                </c:pt>
                <c:pt idx="3">
                  <c:v>4.5977011494252862</c:v>
                </c:pt>
                <c:pt idx="4">
                  <c:v>3862.0689655172409</c:v>
                </c:pt>
                <c:pt idx="5">
                  <c:v>1134.48275862069</c:v>
                </c:pt>
                <c:pt idx="6">
                  <c:v>6055.7471264367814</c:v>
                </c:pt>
                <c:pt idx="7">
                  <c:v>52.873563218390807</c:v>
                </c:pt>
                <c:pt idx="8">
                  <c:v>1695.4022988505751</c:v>
                </c:pt>
                <c:pt idx="9">
                  <c:v>8079.8850574712642</c:v>
                </c:pt>
                <c:pt idx="10">
                  <c:v>13191.954022988501</c:v>
                </c:pt>
                <c:pt idx="11">
                  <c:v>2460.344827586207</c:v>
                </c:pt>
              </c:numCache>
            </c:numRef>
          </c:val>
          <c:extLst xmlns:c16r2="http://schemas.microsoft.com/office/drawing/2015/06/chart">
            <c:ext xmlns:c16="http://schemas.microsoft.com/office/drawing/2014/chart" uri="{C3380CC4-5D6E-409C-BE32-E72D297353CC}">
              <c16:uniqueId val="{00000002-B354-4EB2-8EF9-4B01B12847B8}"/>
            </c:ext>
          </c:extLst>
        </c:ser>
        <c:dLbls>
          <c:showLegendKey val="0"/>
          <c:showVal val="0"/>
          <c:showCatName val="0"/>
          <c:showSerName val="0"/>
          <c:showPercent val="0"/>
          <c:showBubbleSize val="0"/>
        </c:dLbls>
        <c:gapWidth val="267"/>
        <c:overlap val="-43"/>
        <c:axId val="593241128"/>
        <c:axId val="593238776"/>
      </c:barChart>
      <c:catAx>
        <c:axId val="593241128"/>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fr-FR"/>
                  <a:t>Types de céréales achetées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593238776"/>
        <c:crosses val="autoZero"/>
        <c:auto val="1"/>
        <c:lblAlgn val="ctr"/>
        <c:lblOffset val="100"/>
        <c:noMultiLvlLbl val="0"/>
      </c:catAx>
      <c:valAx>
        <c:axId val="59323877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fr-FR"/>
                  <a:t>Quantité en kg de céréales achetées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59324112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'2.2 '!$A$9:$A$23</c:f>
              <c:strCache>
                <c:ptCount val="15"/>
                <c:pt idx="0">
                  <c:v>Revenus propres provenant d’une activité non agricole réalisée au Sénégal</c:v>
                </c:pt>
                <c:pt idx="1">
                  <c:v>Revenus propres provenant d’une activité agricole réalisée au Sénégal </c:v>
                </c:pt>
                <c:pt idx="2">
                  <c:v>Revenus propres provenant de la migration </c:v>
                </c:pt>
                <c:pt idx="3">
                  <c:v>Prêt du gouvernement </c:v>
                </c:pt>
                <c:pt idx="4">
                  <c:v>Prêt de la banque </c:v>
                </c:pt>
                <c:pt idx="5">
                  <c:v>Prêt des grossistes </c:v>
                </c:pt>
                <c:pt idx="6">
                  <c:v>Prêt des détaillants </c:v>
                </c:pt>
                <c:pt idx="7">
                  <c:v>Prêt de l’association des transformateurs</c:v>
                </c:pt>
                <c:pt idx="8">
                  <c:v>Prêt des ONG</c:v>
                </c:pt>
                <c:pt idx="9">
                  <c:v>Prêt d’un SFD </c:v>
                </c:pt>
                <c:pt idx="10">
                  <c:v>Prêt des amis et de la famille </c:v>
                </c:pt>
                <c:pt idx="11">
                  <c:v>Dons des amis et de la famille </c:v>
                </c:pt>
                <c:pt idx="12">
                  <c:v>Autres Dons </c:v>
                </c:pt>
                <c:pt idx="13">
                  <c:v>Tontines </c:v>
                </c:pt>
                <c:pt idx="14">
                  <c:v>Héritage</c:v>
                </c:pt>
              </c:strCache>
            </c:strRef>
          </c:cat>
          <c:val>
            <c:numRef>
              <c:f>'2.2 '!$B$9:$B$23</c:f>
              <c:numCache>
                <c:formatCode>General</c:formatCode>
                <c:ptCount val="15"/>
                <c:pt idx="0">
                  <c:v>80.459999999999994</c:v>
                </c:pt>
                <c:pt idx="1">
                  <c:v>11.49</c:v>
                </c:pt>
                <c:pt idx="2">
                  <c:v>6.9</c:v>
                </c:pt>
                <c:pt idx="3">
                  <c:v>0</c:v>
                </c:pt>
                <c:pt idx="4">
                  <c:v>8.0500000000000007</c:v>
                </c:pt>
                <c:pt idx="5">
                  <c:v>3</c:v>
                </c:pt>
                <c:pt idx="6">
                  <c:v>0</c:v>
                </c:pt>
                <c:pt idx="7">
                  <c:v>0</c:v>
                </c:pt>
                <c:pt idx="8">
                  <c:v>0</c:v>
                </c:pt>
                <c:pt idx="9">
                  <c:v>0</c:v>
                </c:pt>
                <c:pt idx="10">
                  <c:v>10.34</c:v>
                </c:pt>
                <c:pt idx="11">
                  <c:v>10.34</c:v>
                </c:pt>
                <c:pt idx="12">
                  <c:v>0</c:v>
                </c:pt>
                <c:pt idx="13">
                  <c:v>0</c:v>
                </c:pt>
                <c:pt idx="14">
                  <c:v>0</c:v>
                </c:pt>
              </c:numCache>
            </c:numRef>
          </c:val>
          <c:extLst xmlns:c16r2="http://schemas.microsoft.com/office/drawing/2015/06/chart">
            <c:ext xmlns:c16="http://schemas.microsoft.com/office/drawing/2014/chart" uri="{C3380CC4-5D6E-409C-BE32-E72D297353CC}">
              <c16:uniqueId val="{00000000-F58C-4A3A-A5FF-9F5D6EDD7A4D}"/>
            </c:ext>
          </c:extLst>
        </c:ser>
        <c:dLbls>
          <c:showLegendKey val="0"/>
          <c:showVal val="0"/>
          <c:showCatName val="0"/>
          <c:showSerName val="0"/>
          <c:showPercent val="0"/>
          <c:showBubbleSize val="0"/>
        </c:dLbls>
        <c:gapWidth val="247"/>
        <c:overlap val="-50"/>
        <c:axId val="593241520"/>
        <c:axId val="593236816"/>
      </c:barChart>
      <c:catAx>
        <c:axId val="5932415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593236816"/>
        <c:crosses val="autoZero"/>
        <c:auto val="1"/>
        <c:lblAlgn val="ctr"/>
        <c:lblOffset val="100"/>
        <c:noMultiLvlLbl val="0"/>
      </c:catAx>
      <c:valAx>
        <c:axId val="59323681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fr-FR"/>
                  <a:t>Pourcentag</a:t>
                </a:r>
                <a:r>
                  <a:rPr lang="fr-FR" baseline="0"/>
                  <a:t>e</a:t>
                </a:r>
                <a:endParaRPr lang="fr-F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59324152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698915829994552"/>
          <c:y val="1.4116710125753039E-2"/>
          <c:w val="0.87681102362204699"/>
          <c:h val="0.48552251523208867"/>
        </c:manualLayout>
      </c:layout>
      <c:bar3DChart>
        <c:barDir val="col"/>
        <c:grouping val="clustered"/>
        <c:varyColors val="0"/>
        <c:ser>
          <c:idx val="0"/>
          <c:order val="0"/>
          <c:spPr>
            <a:solidFill>
              <a:schemeClr val="accent1"/>
            </a:solidFill>
            <a:ln>
              <a:noFill/>
            </a:ln>
            <a:effectLst/>
            <a:sp3d/>
          </c:spPr>
          <c:invertIfNegative val="0"/>
          <c:cat>
            <c:strRef>
              <c:f>'2.8'!$A$6:$A$13</c:f>
              <c:strCache>
                <c:ptCount val="8"/>
                <c:pt idx="0">
                  <c:v>Garantie d'achat par les Grandes Surfaces </c:v>
                </c:pt>
                <c:pt idx="1">
                  <c:v>Garantie d'achat par un Exportateur</c:v>
                </c:pt>
                <c:pt idx="2">
                  <c:v>Garantie d'achat par des Commerçants</c:v>
                </c:pt>
                <c:pt idx="3">
                  <c:v>Garantie d'achat par des Transformateurs</c:v>
                </c:pt>
                <c:pt idx="4">
                  <c:v>Garantie d'achat par des Consommateurs</c:v>
                </c:pt>
                <c:pt idx="5">
                  <c:v>Livraison de céréales grains par des Producteurs</c:v>
                </c:pt>
                <c:pt idx="6">
                  <c:v>Livraison de produits de la transformation primaire et secondaire par des Transformateurs</c:v>
                </c:pt>
                <c:pt idx="7">
                  <c:v>Livraison de produits de la transformation primaire et secondaire par des Grossistes</c:v>
                </c:pt>
              </c:strCache>
            </c:strRef>
          </c:cat>
          <c:val>
            <c:numRef>
              <c:f>'2.8'!$C$6:$C$13</c:f>
              <c:numCache>
                <c:formatCode>General</c:formatCode>
                <c:ptCount val="8"/>
                <c:pt idx="0">
                  <c:v>12.5</c:v>
                </c:pt>
                <c:pt idx="1">
                  <c:v>0</c:v>
                </c:pt>
                <c:pt idx="2">
                  <c:v>62.5</c:v>
                </c:pt>
                <c:pt idx="3">
                  <c:v>37.5</c:v>
                </c:pt>
                <c:pt idx="4">
                  <c:v>12.5</c:v>
                </c:pt>
                <c:pt idx="5">
                  <c:v>0</c:v>
                </c:pt>
                <c:pt idx="6">
                  <c:v>12.5</c:v>
                </c:pt>
                <c:pt idx="7">
                  <c:v>25</c:v>
                </c:pt>
              </c:numCache>
            </c:numRef>
          </c:val>
          <c:extLst xmlns:c16r2="http://schemas.microsoft.com/office/drawing/2015/06/chart">
            <c:ext xmlns:c16="http://schemas.microsoft.com/office/drawing/2014/chart" uri="{C3380CC4-5D6E-409C-BE32-E72D297353CC}">
              <c16:uniqueId val="{00000000-7C4D-4039-A04A-7560BFF7374E}"/>
            </c:ext>
          </c:extLst>
        </c:ser>
        <c:dLbls>
          <c:showLegendKey val="0"/>
          <c:showVal val="0"/>
          <c:showCatName val="0"/>
          <c:showSerName val="0"/>
          <c:showPercent val="0"/>
          <c:showBubbleSize val="0"/>
        </c:dLbls>
        <c:gapWidth val="150"/>
        <c:shape val="box"/>
        <c:axId val="593238384"/>
        <c:axId val="593237992"/>
        <c:axId val="0"/>
      </c:bar3DChart>
      <c:catAx>
        <c:axId val="593238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Types</a:t>
                </a:r>
                <a:r>
                  <a:rPr lang="fr-FR" baseline="0"/>
                  <a:t> de contrat</a:t>
                </a:r>
                <a:endParaRPr lang="fr-FR"/>
              </a:p>
            </c:rich>
          </c:tx>
          <c:layout>
            <c:manualLayout>
              <c:xMode val="edge"/>
              <c:yMode val="edge"/>
              <c:x val="0.39897537999937832"/>
              <c:y val="0.971417713516527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93237992"/>
        <c:crosses val="autoZero"/>
        <c:auto val="1"/>
        <c:lblAlgn val="ctr"/>
        <c:lblOffset val="100"/>
        <c:noMultiLvlLbl val="0"/>
      </c:catAx>
      <c:valAx>
        <c:axId val="593237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Pourcentage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93238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Feuil1!$A$44</c:f>
              <c:strCache>
                <c:ptCount val="1"/>
                <c:pt idx="0">
                  <c:v>Prix stabilisés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Feuil1!$A$45</c:f>
              <c:numCache>
                <c:formatCode>0%</c:formatCode>
                <c:ptCount val="1"/>
                <c:pt idx="0">
                  <c:v>0.75</c:v>
                </c:pt>
              </c:numCache>
            </c:numRef>
          </c:val>
          <c:extLst xmlns:c16r2="http://schemas.microsoft.com/office/drawing/2015/06/chart">
            <c:ext xmlns:c16="http://schemas.microsoft.com/office/drawing/2014/chart" uri="{C3380CC4-5D6E-409C-BE32-E72D297353CC}">
              <c16:uniqueId val="{00000000-8EF2-4D42-9BFD-A7EF6B0866F4}"/>
            </c:ext>
          </c:extLst>
        </c:ser>
        <c:ser>
          <c:idx val="1"/>
          <c:order val="1"/>
          <c:tx>
            <c:strRef>
              <c:f>Feuil1!$B$44</c:f>
              <c:strCache>
                <c:ptCount val="1"/>
                <c:pt idx="0">
                  <c:v>Prix plus élevés que le marché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Feuil1!$B$45</c:f>
              <c:numCache>
                <c:formatCode>0%</c:formatCode>
                <c:ptCount val="1"/>
                <c:pt idx="0">
                  <c:v>0.375</c:v>
                </c:pt>
              </c:numCache>
            </c:numRef>
          </c:val>
          <c:extLst xmlns:c16r2="http://schemas.microsoft.com/office/drawing/2015/06/chart">
            <c:ext xmlns:c16="http://schemas.microsoft.com/office/drawing/2014/chart" uri="{C3380CC4-5D6E-409C-BE32-E72D297353CC}">
              <c16:uniqueId val="{00000001-8EF2-4D42-9BFD-A7EF6B0866F4}"/>
            </c:ext>
          </c:extLst>
        </c:ser>
        <c:ser>
          <c:idx val="2"/>
          <c:order val="2"/>
          <c:tx>
            <c:strRef>
              <c:f>Feuil1!$C$44</c:f>
              <c:strCache>
                <c:ptCount val="1"/>
                <c:pt idx="0">
                  <c:v>Accès au crédit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Feuil1!$C$45</c:f>
              <c:numCache>
                <c:formatCode>0%</c:formatCode>
                <c:ptCount val="1"/>
                <c:pt idx="0">
                  <c:v>0.25</c:v>
                </c:pt>
              </c:numCache>
            </c:numRef>
          </c:val>
          <c:extLst xmlns:c16r2="http://schemas.microsoft.com/office/drawing/2015/06/chart">
            <c:ext xmlns:c16="http://schemas.microsoft.com/office/drawing/2014/chart" uri="{C3380CC4-5D6E-409C-BE32-E72D297353CC}">
              <c16:uniqueId val="{00000002-8EF2-4D42-9BFD-A7EF6B0866F4}"/>
            </c:ext>
          </c:extLst>
        </c:ser>
        <c:ser>
          <c:idx val="3"/>
          <c:order val="3"/>
          <c:tx>
            <c:strRef>
              <c:f>Feuil1!$D$44</c:f>
              <c:strCache>
                <c:ptCount val="1"/>
                <c:pt idx="0">
                  <c:v>Production accrue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Feuil1!$D$45</c:f>
              <c:numCache>
                <c:formatCode>0%</c:formatCode>
                <c:ptCount val="1"/>
                <c:pt idx="0">
                  <c:v>0.125</c:v>
                </c:pt>
              </c:numCache>
            </c:numRef>
          </c:val>
          <c:extLst xmlns:c16r2="http://schemas.microsoft.com/office/drawing/2015/06/chart">
            <c:ext xmlns:c16="http://schemas.microsoft.com/office/drawing/2014/chart" uri="{C3380CC4-5D6E-409C-BE32-E72D297353CC}">
              <c16:uniqueId val="{00000003-8EF2-4D42-9BFD-A7EF6B0866F4}"/>
            </c:ext>
          </c:extLst>
        </c:ser>
        <c:ser>
          <c:idx val="4"/>
          <c:order val="4"/>
          <c:tx>
            <c:strRef>
              <c:f>Feuil1!$E$44</c:f>
              <c:strCache>
                <c:ptCount val="1"/>
                <c:pt idx="0">
                  <c:v>Amélioration de la qualité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Feuil1!$E$45</c:f>
              <c:numCache>
                <c:formatCode>0%</c:formatCode>
                <c:ptCount val="1"/>
                <c:pt idx="0">
                  <c:v>0.125</c:v>
                </c:pt>
              </c:numCache>
            </c:numRef>
          </c:val>
          <c:extLst xmlns:c16r2="http://schemas.microsoft.com/office/drawing/2015/06/chart">
            <c:ext xmlns:c16="http://schemas.microsoft.com/office/drawing/2014/chart" uri="{C3380CC4-5D6E-409C-BE32-E72D297353CC}">
              <c16:uniqueId val="{00000004-8EF2-4D42-9BFD-A7EF6B0866F4}"/>
            </c:ext>
          </c:extLst>
        </c:ser>
        <c:ser>
          <c:idx val="5"/>
          <c:order val="5"/>
          <c:tx>
            <c:strRef>
              <c:f>Feuil1!$F$44</c:f>
              <c:strCache>
                <c:ptCount val="1"/>
                <c:pt idx="0">
                  <c:v>Augmentation des revenus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Feuil1!$F$45</c:f>
              <c:numCache>
                <c:formatCode>0%</c:formatCode>
                <c:ptCount val="1"/>
                <c:pt idx="0">
                  <c:v>0.75</c:v>
                </c:pt>
              </c:numCache>
            </c:numRef>
          </c:val>
          <c:extLst xmlns:c16r2="http://schemas.microsoft.com/office/drawing/2015/06/chart">
            <c:ext xmlns:c16="http://schemas.microsoft.com/office/drawing/2014/chart" uri="{C3380CC4-5D6E-409C-BE32-E72D297353CC}">
              <c16:uniqueId val="{00000005-8EF2-4D42-9BFD-A7EF6B0866F4}"/>
            </c:ext>
          </c:extLst>
        </c:ser>
        <c:ser>
          <c:idx val="6"/>
          <c:order val="6"/>
          <c:tx>
            <c:strRef>
              <c:f>Feuil1!$G$44</c:f>
              <c:strCache>
                <c:ptCount val="1"/>
                <c:pt idx="0">
                  <c:v>Meilleur Pouvoir de négociation </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Feuil1!$G$45</c:f>
              <c:numCache>
                <c:formatCode>0%</c:formatCode>
                <c:ptCount val="1"/>
                <c:pt idx="0">
                  <c:v>0.375</c:v>
                </c:pt>
              </c:numCache>
            </c:numRef>
          </c:val>
          <c:extLst xmlns:c16r2="http://schemas.microsoft.com/office/drawing/2015/06/chart">
            <c:ext xmlns:c16="http://schemas.microsoft.com/office/drawing/2014/chart" uri="{C3380CC4-5D6E-409C-BE32-E72D297353CC}">
              <c16:uniqueId val="{00000006-8EF2-4D42-9BFD-A7EF6B0866F4}"/>
            </c:ext>
          </c:extLst>
        </c:ser>
        <c:ser>
          <c:idx val="7"/>
          <c:order val="7"/>
          <c:tx>
            <c:strRef>
              <c:f>Feuil1!$H$44</c:f>
              <c:strCache>
                <c:ptCount val="1"/>
                <c:pt idx="0">
                  <c:v>Sécurisation des marchés</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Feuil1!$H$45</c:f>
              <c:numCache>
                <c:formatCode>0%</c:formatCode>
                <c:ptCount val="1"/>
                <c:pt idx="0">
                  <c:v>0.125</c:v>
                </c:pt>
              </c:numCache>
            </c:numRef>
          </c:val>
          <c:extLst xmlns:c16r2="http://schemas.microsoft.com/office/drawing/2015/06/chart">
            <c:ext xmlns:c16="http://schemas.microsoft.com/office/drawing/2014/chart" uri="{C3380CC4-5D6E-409C-BE32-E72D297353CC}">
              <c16:uniqueId val="{00000007-8EF2-4D42-9BFD-A7EF6B0866F4}"/>
            </c:ext>
          </c:extLst>
        </c:ser>
        <c:ser>
          <c:idx val="8"/>
          <c:order val="8"/>
          <c:tx>
            <c:strRef>
              <c:f>Feuil1!$I$44</c:f>
              <c:strCache>
                <c:ptCount val="1"/>
                <c:pt idx="0">
                  <c:v>Amélioration de la capacité d’investissement</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Feuil1!$I$45</c:f>
              <c:numCache>
                <c:formatCode>0%</c:formatCode>
                <c:ptCount val="1"/>
                <c:pt idx="0">
                  <c:v>0.125</c:v>
                </c:pt>
              </c:numCache>
            </c:numRef>
          </c:val>
          <c:extLst xmlns:c16r2="http://schemas.microsoft.com/office/drawing/2015/06/chart">
            <c:ext xmlns:c16="http://schemas.microsoft.com/office/drawing/2014/chart" uri="{C3380CC4-5D6E-409C-BE32-E72D297353CC}">
              <c16:uniqueId val="{00000008-8EF2-4D42-9BFD-A7EF6B0866F4}"/>
            </c:ext>
          </c:extLst>
        </c:ser>
        <c:ser>
          <c:idx val="9"/>
          <c:order val="9"/>
          <c:tx>
            <c:strRef>
              <c:f>Feuil1!$J$44</c:f>
              <c:strCache>
                <c:ptCount val="1"/>
                <c:pt idx="0">
                  <c:v>Baisse des invendus</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Feuil1!$J$45</c:f>
              <c:numCache>
                <c:formatCode>0%</c:formatCode>
                <c:ptCount val="1"/>
                <c:pt idx="0">
                  <c:v>0.125</c:v>
                </c:pt>
              </c:numCache>
            </c:numRef>
          </c:val>
          <c:extLst xmlns:c16r2="http://schemas.microsoft.com/office/drawing/2015/06/chart">
            <c:ext xmlns:c16="http://schemas.microsoft.com/office/drawing/2014/chart" uri="{C3380CC4-5D6E-409C-BE32-E72D297353CC}">
              <c16:uniqueId val="{00000009-8EF2-4D42-9BFD-A7EF6B0866F4}"/>
            </c:ext>
          </c:extLst>
        </c:ser>
        <c:dLbls>
          <c:dLblPos val="outEnd"/>
          <c:showLegendKey val="0"/>
          <c:showVal val="1"/>
          <c:showCatName val="0"/>
          <c:showSerName val="0"/>
          <c:showPercent val="0"/>
          <c:showBubbleSize val="0"/>
        </c:dLbls>
        <c:gapWidth val="219"/>
        <c:overlap val="-27"/>
        <c:axId val="593242304"/>
        <c:axId val="593242696"/>
      </c:barChart>
      <c:catAx>
        <c:axId val="593242304"/>
        <c:scaling>
          <c:orientation val="minMax"/>
        </c:scaling>
        <c:delete val="1"/>
        <c:axPos val="b"/>
        <c:numFmt formatCode="General" sourceLinked="1"/>
        <c:majorTickMark val="out"/>
        <c:minorTickMark val="none"/>
        <c:tickLblPos val="nextTo"/>
        <c:crossAx val="593242696"/>
        <c:crosses val="autoZero"/>
        <c:auto val="1"/>
        <c:lblAlgn val="ctr"/>
        <c:lblOffset val="100"/>
        <c:noMultiLvlLbl val="0"/>
      </c:catAx>
      <c:valAx>
        <c:axId val="593242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93242304"/>
        <c:crosses val="autoZero"/>
        <c:crossBetween val="between"/>
      </c:valAx>
      <c:spPr>
        <a:noFill/>
        <a:ln>
          <a:noFill/>
        </a:ln>
        <a:effectLst/>
      </c:spPr>
    </c:plotArea>
    <c:legend>
      <c:legendPos val="b"/>
      <c:layout>
        <c:manualLayout>
          <c:xMode val="edge"/>
          <c:yMode val="edge"/>
          <c:x val="5.8352055993000876E-2"/>
          <c:y val="0.6604561965570922"/>
          <c:w val="0.90996255468066489"/>
          <c:h val="0.316621167339755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'Ventes annuelles'!$N$7:$N$18</c:f>
              <c:strCache>
                <c:ptCount val="12"/>
                <c:pt idx="0">
                  <c:v>Mil grain</c:v>
                </c:pt>
                <c:pt idx="1">
                  <c:v>Sorgho grain</c:v>
                </c:pt>
                <c:pt idx="2">
                  <c:v>MaÃ¯s grain</c:v>
                </c:pt>
                <c:pt idx="3">
                  <c:v>Fonio grain</c:v>
                </c:pt>
                <c:pt idx="4">
                  <c:v>Riz blanc entier ordinaire local</c:v>
                </c:pt>
                <c:pt idx="5">
                  <c:v>Riz blanc entier aromatique local</c:v>
                </c:pt>
                <c:pt idx="6">
                  <c:v>Riz blanc brise ordinaire local</c:v>
                </c:pt>
                <c:pt idx="7">
                  <c:v>Riz blanc brise aromatique local</c:v>
                </c:pt>
                <c:pt idx="8">
                  <c:v>Riz blanc entier ordinaire importe</c:v>
                </c:pt>
                <c:pt idx="9">
                  <c:v>Riz blanc entier parfume importe</c:v>
                </c:pt>
                <c:pt idx="10">
                  <c:v>Riz blanc brise ordinaire importe</c:v>
                </c:pt>
                <c:pt idx="11">
                  <c:v>Riz blanc brise parfume importe</c:v>
                </c:pt>
              </c:strCache>
            </c:strRef>
          </c:cat>
          <c:val>
            <c:numRef>
              <c:f>'Ventes annuelles'!$O$7:$O$18</c:f>
              <c:numCache>
                <c:formatCode>General</c:formatCode>
                <c:ptCount val="12"/>
                <c:pt idx="0">
                  <c:v>212.062068965517</c:v>
                </c:pt>
                <c:pt idx="1">
                  <c:v>38.709195402298903</c:v>
                </c:pt>
                <c:pt idx="2">
                  <c:v>163.52666666666701</c:v>
                </c:pt>
                <c:pt idx="3">
                  <c:v>0.16367816091953999</c:v>
                </c:pt>
                <c:pt idx="4">
                  <c:v>176.70321839080501</c:v>
                </c:pt>
                <c:pt idx="5">
                  <c:v>56.4954022988506</c:v>
                </c:pt>
                <c:pt idx="6">
                  <c:v>297.51954022988502</c:v>
                </c:pt>
                <c:pt idx="7">
                  <c:v>2.1908045977011512</c:v>
                </c:pt>
                <c:pt idx="8">
                  <c:v>75.2</c:v>
                </c:pt>
                <c:pt idx="9">
                  <c:v>396.04896551724102</c:v>
                </c:pt>
                <c:pt idx="10">
                  <c:v>570.95080459770099</c:v>
                </c:pt>
                <c:pt idx="11">
                  <c:v>113.41441379310299</c:v>
                </c:pt>
              </c:numCache>
            </c:numRef>
          </c:val>
          <c:extLst xmlns:c16r2="http://schemas.microsoft.com/office/drawing/2015/06/chart">
            <c:ext xmlns:c16="http://schemas.microsoft.com/office/drawing/2014/chart" uri="{C3380CC4-5D6E-409C-BE32-E72D297353CC}">
              <c16:uniqueId val="{00000000-2573-4D16-8695-282B0210BE24}"/>
            </c:ext>
          </c:extLst>
        </c:ser>
        <c:dLbls>
          <c:dLblPos val="outEnd"/>
          <c:showLegendKey val="0"/>
          <c:showVal val="1"/>
          <c:showCatName val="0"/>
          <c:showSerName val="0"/>
          <c:showPercent val="0"/>
          <c:showBubbleSize val="0"/>
        </c:dLbls>
        <c:gapWidth val="247"/>
        <c:axId val="593237208"/>
        <c:axId val="593237600"/>
      </c:barChart>
      <c:catAx>
        <c:axId val="593237208"/>
        <c:scaling>
          <c:orientation val="minMax"/>
        </c:scaling>
        <c:delete val="1"/>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fr-FR"/>
                  <a:t>Céréales</a:t>
                </a:r>
                <a:r>
                  <a:rPr lang="fr-FR" baseline="0"/>
                  <a:t> vendues </a:t>
                </a:r>
                <a:endParaRPr lang="fr-F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fr-FR"/>
            </a:p>
          </c:txPr>
        </c:title>
        <c:numFmt formatCode="General" sourceLinked="1"/>
        <c:majorTickMark val="out"/>
        <c:minorTickMark val="none"/>
        <c:tickLblPos val="nextTo"/>
        <c:crossAx val="593237600"/>
        <c:crosses val="autoZero"/>
        <c:auto val="1"/>
        <c:lblAlgn val="ctr"/>
        <c:lblOffset val="100"/>
        <c:noMultiLvlLbl val="0"/>
      </c:catAx>
      <c:valAx>
        <c:axId val="593237600"/>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fr-FR"/>
                  <a:t>Quantités</a:t>
                </a:r>
                <a:r>
                  <a:rPr lang="fr-FR" baseline="0"/>
                  <a:t> totales vendues par an en tonnes </a:t>
                </a:r>
                <a:endParaRPr lang="fr-F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5932372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45E0-A773-4731-8156-81D548FB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7712</Words>
  <Characters>42421</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50033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ndiaye</dc:creator>
  <cp:keywords/>
  <dc:description/>
  <cp:lastModifiedBy>Lenovo</cp:lastModifiedBy>
  <cp:revision>3</cp:revision>
  <dcterms:created xsi:type="dcterms:W3CDTF">2020-03-12T12:54:00Z</dcterms:created>
  <dcterms:modified xsi:type="dcterms:W3CDTF">2022-07-26T12:34:00Z</dcterms:modified>
</cp:coreProperties>
</file>